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8CB92" w14:textId="77777777" w:rsidR="007E48E9" w:rsidRDefault="007E48E9">
      <w:pPr>
        <w:spacing w:before="57" w:after="57" w:line="276" w:lineRule="auto"/>
        <w:jc w:val="center"/>
        <w:rPr>
          <w:b/>
        </w:rPr>
      </w:pPr>
    </w:p>
    <w:p w14:paraId="1E467DDA" w14:textId="32418334" w:rsidR="007E48E9" w:rsidRDefault="00000000">
      <w:pPr>
        <w:spacing w:before="57" w:after="57" w:line="276" w:lineRule="auto"/>
        <w:jc w:val="center"/>
        <w:rPr>
          <w:rFonts w:ascii="Verdana" w:hAnsi="Verdana"/>
          <w:sz w:val="20"/>
          <w:szCs w:val="20"/>
        </w:rPr>
      </w:pPr>
      <w:r>
        <w:rPr>
          <w:rFonts w:ascii="Verdana" w:hAnsi="Verdana"/>
          <w:b/>
          <w:sz w:val="20"/>
          <w:szCs w:val="20"/>
        </w:rPr>
        <w:t xml:space="preserve">PREGÃO ELETRÔNICO Nº </w:t>
      </w:r>
      <w:r w:rsidR="00B1577C">
        <w:rPr>
          <w:rFonts w:ascii="Verdana" w:hAnsi="Verdana"/>
          <w:b/>
          <w:sz w:val="20"/>
          <w:szCs w:val="20"/>
        </w:rPr>
        <w:t>90</w:t>
      </w:r>
      <w:r>
        <w:rPr>
          <w:rFonts w:ascii="Verdana" w:hAnsi="Verdana"/>
          <w:b/>
          <w:sz w:val="20"/>
          <w:szCs w:val="20"/>
        </w:rPr>
        <w:t>001/2026.</w:t>
      </w:r>
    </w:p>
    <w:p w14:paraId="1156D78F" w14:textId="77777777" w:rsidR="007E48E9" w:rsidRDefault="00000000">
      <w:pPr>
        <w:spacing w:before="57" w:after="57" w:line="276" w:lineRule="auto"/>
        <w:jc w:val="center"/>
        <w:rPr>
          <w:rFonts w:ascii="Verdana" w:hAnsi="Verdana"/>
          <w:sz w:val="20"/>
          <w:szCs w:val="20"/>
        </w:rPr>
      </w:pPr>
      <w:r>
        <w:rPr>
          <w:rFonts w:ascii="Verdana" w:hAnsi="Verdana"/>
          <w:b/>
          <w:sz w:val="20"/>
          <w:szCs w:val="20"/>
        </w:rPr>
        <w:t>PROCESSO ADMINISTRATIVO Nº 085/2026</w:t>
      </w:r>
    </w:p>
    <w:p w14:paraId="4B9847BD" w14:textId="77777777" w:rsidR="007E48E9" w:rsidRDefault="00000000">
      <w:pPr>
        <w:spacing w:before="57" w:after="57" w:line="276" w:lineRule="auto"/>
        <w:jc w:val="center"/>
        <w:rPr>
          <w:rFonts w:ascii="Verdana" w:hAnsi="Verdana"/>
          <w:sz w:val="20"/>
          <w:szCs w:val="20"/>
        </w:rPr>
      </w:pPr>
      <w:r>
        <w:rPr>
          <w:rFonts w:ascii="Verdana" w:hAnsi="Verdana"/>
          <w:b/>
          <w:sz w:val="20"/>
          <w:szCs w:val="20"/>
        </w:rPr>
        <w:t xml:space="preserve">ID da Contratação no </w:t>
      </w:r>
      <w:proofErr w:type="spellStart"/>
      <w:r>
        <w:rPr>
          <w:rFonts w:ascii="Verdana" w:hAnsi="Verdana"/>
          <w:b/>
          <w:sz w:val="20"/>
          <w:szCs w:val="20"/>
        </w:rPr>
        <w:t>CidadES</w:t>
      </w:r>
      <w:proofErr w:type="spellEnd"/>
      <w:r>
        <w:rPr>
          <w:rFonts w:ascii="Verdana" w:hAnsi="Verdana"/>
          <w:b/>
          <w:sz w:val="20"/>
          <w:szCs w:val="20"/>
        </w:rPr>
        <w:t xml:space="preserve"> Nº </w:t>
      </w:r>
      <w:bookmarkStart w:id="0" w:name="_Hlk232084256"/>
      <w:r>
        <w:rPr>
          <w:rFonts w:ascii="Verdana" w:hAnsi="Verdana"/>
          <w:b/>
          <w:sz w:val="20"/>
          <w:szCs w:val="20"/>
        </w:rPr>
        <w:t>2025.065E0800001.01.0002</w:t>
      </w:r>
      <w:bookmarkEnd w:id="0"/>
      <w:r>
        <w:rPr>
          <w:rFonts w:ascii="Verdana" w:hAnsi="Verdana"/>
          <w:b/>
          <w:sz w:val="20"/>
          <w:szCs w:val="20"/>
        </w:rPr>
        <w:t>.</w:t>
      </w:r>
    </w:p>
    <w:p w14:paraId="2C04FFBE" w14:textId="77777777" w:rsidR="007E48E9" w:rsidRDefault="007E48E9">
      <w:pPr>
        <w:spacing w:before="57" w:after="57" w:line="276" w:lineRule="auto"/>
        <w:jc w:val="center"/>
        <w:rPr>
          <w:rFonts w:ascii="Verdana" w:hAnsi="Verdana"/>
          <w:b/>
          <w:sz w:val="20"/>
          <w:szCs w:val="20"/>
        </w:rPr>
      </w:pPr>
    </w:p>
    <w:p w14:paraId="56D3ECF2" w14:textId="77777777" w:rsidR="007E48E9" w:rsidRDefault="00000000">
      <w:pPr>
        <w:spacing w:before="57" w:after="57" w:line="276" w:lineRule="auto"/>
        <w:jc w:val="both"/>
        <w:rPr>
          <w:rFonts w:ascii="Verdana" w:hAnsi="Verdana"/>
          <w:sz w:val="20"/>
          <w:szCs w:val="20"/>
        </w:rPr>
      </w:pPr>
      <w:r>
        <w:rPr>
          <w:rFonts w:ascii="Verdana" w:eastAsia="Batang" w:hAnsi="Verdana"/>
          <w:sz w:val="20"/>
          <w:szCs w:val="20"/>
        </w:rPr>
        <w:t xml:space="preserve">A </w:t>
      </w:r>
      <w:bookmarkStart w:id="1" w:name="_Hlk232084235"/>
      <w:r>
        <w:rPr>
          <w:rFonts w:ascii="Verdana" w:eastAsia="Batang" w:hAnsi="Verdana"/>
          <w:sz w:val="20"/>
          <w:szCs w:val="20"/>
        </w:rPr>
        <w:t>CAIXA DE ASSISTÊNCIA DOS SERVIDORES PÚBLICOS MUNICIPAIS DE SÃO GABRIEL DA PALHA</w:t>
      </w:r>
      <w:bookmarkEnd w:id="1"/>
      <w:r>
        <w:rPr>
          <w:rFonts w:ascii="Verdana" w:eastAsia="Batang" w:hAnsi="Verdana"/>
          <w:sz w:val="20"/>
          <w:szCs w:val="20"/>
        </w:rPr>
        <w:t xml:space="preserve">, </w:t>
      </w:r>
      <w:r>
        <w:rPr>
          <w:rFonts w:ascii="Verdana" w:eastAsia="Times New Roman" w:hAnsi="Verdana"/>
          <w:sz w:val="20"/>
          <w:szCs w:val="20"/>
        </w:rPr>
        <w:t xml:space="preserve">situado à Rua 14 de Maio, </w:t>
      </w:r>
      <w:r>
        <w:rPr>
          <w:rFonts w:ascii="Verdana" w:hAnsi="Verdana"/>
          <w:sz w:val="20"/>
          <w:szCs w:val="20"/>
        </w:rPr>
        <w:t>nº 192, Bairro Glória, São Gabriel da Palha - ES</w:t>
      </w:r>
      <w:r>
        <w:rPr>
          <w:rFonts w:ascii="Verdana" w:eastAsia="Batang" w:hAnsi="Verdana"/>
          <w:sz w:val="20"/>
          <w:szCs w:val="20"/>
        </w:rPr>
        <w:t>, de acordo com a Lei nº 14.133/2021, TORNA PÚBLICO que realizará licitação nos termos deste edital.</w:t>
      </w:r>
    </w:p>
    <w:p w14:paraId="1B35E059" w14:textId="45493C38" w:rsidR="007E48E9" w:rsidRDefault="00000000">
      <w:pPr>
        <w:spacing w:before="57" w:after="57" w:line="276" w:lineRule="auto"/>
        <w:jc w:val="both"/>
        <w:rPr>
          <w:rFonts w:ascii="Verdana" w:hAnsi="Verdana"/>
          <w:sz w:val="20"/>
          <w:szCs w:val="20"/>
        </w:rPr>
      </w:pPr>
      <w:r>
        <w:rPr>
          <w:rFonts w:ascii="Verdana" w:eastAsia="Batang" w:hAnsi="Verdana"/>
          <w:b/>
          <w:bCs/>
          <w:sz w:val="20"/>
          <w:szCs w:val="20"/>
        </w:rPr>
        <w:t xml:space="preserve">Prazo para envio da proposta: </w:t>
      </w:r>
      <w:r w:rsidR="00B1577C">
        <w:rPr>
          <w:rFonts w:ascii="Verdana" w:eastAsia="Batang" w:hAnsi="Verdana"/>
          <w:b/>
          <w:bCs/>
          <w:sz w:val="20"/>
          <w:szCs w:val="20"/>
        </w:rPr>
        <w:t>30</w:t>
      </w:r>
      <w:r>
        <w:rPr>
          <w:rFonts w:ascii="Verdana" w:eastAsia="Batang" w:hAnsi="Verdana"/>
          <w:b/>
          <w:bCs/>
          <w:sz w:val="20"/>
          <w:szCs w:val="20"/>
        </w:rPr>
        <w:t>/</w:t>
      </w:r>
      <w:r w:rsidR="00B1577C">
        <w:rPr>
          <w:rFonts w:ascii="Verdana" w:eastAsia="Batang" w:hAnsi="Verdana"/>
          <w:b/>
          <w:bCs/>
          <w:sz w:val="20"/>
          <w:szCs w:val="20"/>
        </w:rPr>
        <w:t>06</w:t>
      </w:r>
      <w:r>
        <w:rPr>
          <w:rFonts w:ascii="Verdana" w:eastAsia="Batang" w:hAnsi="Verdana"/>
          <w:b/>
          <w:bCs/>
          <w:sz w:val="20"/>
          <w:szCs w:val="20"/>
        </w:rPr>
        <w:t>/2026</w:t>
      </w:r>
    </w:p>
    <w:p w14:paraId="7CEC8767" w14:textId="52BAC8B9" w:rsidR="007E48E9" w:rsidRDefault="00000000">
      <w:pPr>
        <w:spacing w:before="57" w:after="57" w:line="276" w:lineRule="auto"/>
        <w:jc w:val="both"/>
        <w:rPr>
          <w:rFonts w:ascii="Verdana" w:hAnsi="Verdana"/>
          <w:sz w:val="20"/>
          <w:szCs w:val="20"/>
        </w:rPr>
      </w:pPr>
      <w:r>
        <w:rPr>
          <w:rFonts w:ascii="Verdana" w:eastAsia="Batang" w:hAnsi="Verdana"/>
          <w:b/>
          <w:bCs/>
          <w:sz w:val="20"/>
          <w:szCs w:val="20"/>
        </w:rPr>
        <w:t>Abertura das Propostas:</w:t>
      </w:r>
      <w:r>
        <w:rPr>
          <w:rFonts w:ascii="Verdana" w:eastAsia="Times New Roman" w:hAnsi="Verdana"/>
          <w:b/>
          <w:bCs/>
          <w:color w:val="000000"/>
          <w:sz w:val="20"/>
          <w:szCs w:val="20"/>
        </w:rPr>
        <w:t xml:space="preserve"> </w:t>
      </w:r>
      <w:r w:rsidR="00B1577C">
        <w:rPr>
          <w:rFonts w:ascii="Verdana" w:eastAsia="Times New Roman" w:hAnsi="Verdana"/>
          <w:b/>
          <w:bCs/>
          <w:color w:val="000000"/>
          <w:sz w:val="20"/>
          <w:szCs w:val="20"/>
        </w:rPr>
        <w:t>30</w:t>
      </w:r>
      <w:r>
        <w:rPr>
          <w:rFonts w:ascii="Verdana" w:eastAsia="Times New Roman" w:hAnsi="Verdana"/>
          <w:b/>
          <w:bCs/>
          <w:color w:val="000000"/>
          <w:sz w:val="20"/>
          <w:szCs w:val="20"/>
        </w:rPr>
        <w:t>/</w:t>
      </w:r>
      <w:r w:rsidR="00B1577C">
        <w:rPr>
          <w:rFonts w:ascii="Verdana" w:eastAsia="Times New Roman" w:hAnsi="Verdana"/>
          <w:b/>
          <w:bCs/>
          <w:color w:val="000000"/>
          <w:sz w:val="20"/>
          <w:szCs w:val="20"/>
        </w:rPr>
        <w:t>06</w:t>
      </w:r>
      <w:r>
        <w:rPr>
          <w:rFonts w:ascii="Verdana" w:eastAsia="Times New Roman" w:hAnsi="Verdana"/>
          <w:b/>
          <w:bCs/>
          <w:color w:val="000000"/>
          <w:sz w:val="20"/>
          <w:szCs w:val="20"/>
        </w:rPr>
        <w:t xml:space="preserve">/2026 as </w:t>
      </w:r>
      <w:r w:rsidR="00B1577C">
        <w:rPr>
          <w:rFonts w:ascii="Verdana" w:eastAsia="Times New Roman" w:hAnsi="Verdana"/>
          <w:b/>
          <w:bCs/>
          <w:color w:val="000000"/>
          <w:sz w:val="20"/>
          <w:szCs w:val="20"/>
        </w:rPr>
        <w:t>13</w:t>
      </w:r>
      <w:r>
        <w:rPr>
          <w:rFonts w:ascii="Verdana" w:eastAsia="Times New Roman" w:hAnsi="Verdana"/>
          <w:b/>
          <w:bCs/>
          <w:color w:val="000000"/>
          <w:sz w:val="20"/>
          <w:szCs w:val="20"/>
        </w:rPr>
        <w:t>h</w:t>
      </w:r>
      <w:r w:rsidR="00B1577C">
        <w:rPr>
          <w:rFonts w:ascii="Verdana" w:eastAsia="Times New Roman" w:hAnsi="Verdana"/>
          <w:b/>
          <w:bCs/>
          <w:color w:val="000000"/>
          <w:sz w:val="20"/>
          <w:szCs w:val="20"/>
        </w:rPr>
        <w:t>00</w:t>
      </w:r>
      <w:r>
        <w:rPr>
          <w:rFonts w:ascii="Verdana" w:eastAsia="Times New Roman" w:hAnsi="Verdana"/>
          <w:b/>
          <w:bCs/>
          <w:color w:val="000000"/>
          <w:sz w:val="20"/>
          <w:szCs w:val="20"/>
        </w:rPr>
        <w:t>min</w:t>
      </w:r>
    </w:p>
    <w:p w14:paraId="191368CA"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Referência de tempo: Horário de Brasília.</w:t>
      </w:r>
    </w:p>
    <w:p w14:paraId="18A7D64A" w14:textId="77777777" w:rsidR="007E48E9" w:rsidRDefault="007E48E9">
      <w:pPr>
        <w:spacing w:before="57" w:after="57" w:line="276" w:lineRule="auto"/>
        <w:rPr>
          <w:rFonts w:ascii="Verdana" w:hAnsi="Verdana"/>
          <w:sz w:val="20"/>
          <w:szCs w:val="20"/>
        </w:rPr>
      </w:pPr>
    </w:p>
    <w:p w14:paraId="79D4A49A" w14:textId="77777777" w:rsidR="007E48E9" w:rsidRDefault="00000000">
      <w:pPr>
        <w:pBdr>
          <w:bottom w:val="double" w:sz="4" w:space="1" w:color="000000"/>
        </w:pBdr>
        <w:spacing w:before="57" w:after="57" w:line="276" w:lineRule="auto"/>
        <w:rPr>
          <w:rFonts w:ascii="Verdana" w:hAnsi="Verdana"/>
          <w:sz w:val="20"/>
          <w:szCs w:val="20"/>
        </w:rPr>
      </w:pPr>
      <w:r>
        <w:rPr>
          <w:rFonts w:ascii="Verdana" w:hAnsi="Verdana"/>
          <w:b/>
          <w:sz w:val="20"/>
          <w:szCs w:val="20"/>
        </w:rPr>
        <w:t>I – CONDIÇÕES GERAIS</w:t>
      </w:r>
    </w:p>
    <w:p w14:paraId="6DBBB256" w14:textId="77777777" w:rsidR="007E48E9" w:rsidRDefault="00000000">
      <w:pPr>
        <w:pStyle w:val="PargrafodaLista"/>
        <w:numPr>
          <w:ilvl w:val="1"/>
          <w:numId w:val="3"/>
        </w:numPr>
        <w:tabs>
          <w:tab w:val="left" w:pos="602"/>
        </w:tabs>
        <w:spacing w:before="57" w:after="57" w:line="276" w:lineRule="auto"/>
        <w:ind w:left="0" w:firstLine="0"/>
        <w:contextualSpacing w:val="0"/>
        <w:jc w:val="both"/>
        <w:rPr>
          <w:rFonts w:ascii="Verdana" w:hAnsi="Verdana"/>
          <w:sz w:val="20"/>
          <w:szCs w:val="20"/>
        </w:rPr>
      </w:pPr>
      <w:r>
        <w:rPr>
          <w:rFonts w:ascii="Verdana" w:hAnsi="Verdana"/>
          <w:sz w:val="20"/>
          <w:szCs w:val="20"/>
        </w:rPr>
        <w:t xml:space="preserve">A presente Licitação reger-se-á pelas condições gerais e especiais constantes da </w:t>
      </w:r>
      <w:r>
        <w:rPr>
          <w:rFonts w:ascii="Verdana" w:hAnsi="Verdana"/>
          <w:b/>
          <w:sz w:val="20"/>
          <w:szCs w:val="20"/>
        </w:rPr>
        <w:t xml:space="preserve">Lei nº </w:t>
      </w:r>
      <w:r>
        <w:rPr>
          <w:rFonts w:ascii="Verdana" w:eastAsia="Batang" w:hAnsi="Verdana"/>
          <w:b/>
          <w:bCs/>
          <w:sz w:val="20"/>
          <w:szCs w:val="20"/>
          <w:lang w:eastAsia="en-US"/>
        </w:rPr>
        <w:t>14.133</w:t>
      </w:r>
      <w:r>
        <w:rPr>
          <w:rFonts w:ascii="Verdana" w:hAnsi="Verdana"/>
          <w:sz w:val="20"/>
          <w:szCs w:val="20"/>
        </w:rPr>
        <w:t>, de 01 de abril de 2021.</w:t>
      </w:r>
    </w:p>
    <w:p w14:paraId="54B579F6" w14:textId="77777777" w:rsidR="007E48E9" w:rsidRDefault="00000000">
      <w:pPr>
        <w:pStyle w:val="PargrafodaLista"/>
        <w:numPr>
          <w:ilvl w:val="1"/>
          <w:numId w:val="3"/>
        </w:numPr>
        <w:tabs>
          <w:tab w:val="left" w:pos="602"/>
        </w:tabs>
        <w:spacing w:before="57" w:after="57" w:line="276" w:lineRule="auto"/>
        <w:ind w:left="0" w:firstLine="0"/>
        <w:contextualSpacing w:val="0"/>
        <w:jc w:val="both"/>
        <w:rPr>
          <w:rFonts w:ascii="Verdana" w:hAnsi="Verdana"/>
          <w:sz w:val="20"/>
          <w:szCs w:val="20"/>
        </w:rPr>
      </w:pPr>
      <w:r>
        <w:rPr>
          <w:rFonts w:ascii="Verdana" w:eastAsia="Batang" w:hAnsi="Verdana"/>
          <w:sz w:val="20"/>
          <w:szCs w:val="20"/>
          <w:lang w:eastAsia="en-US"/>
        </w:rPr>
        <w:t>Em caso de eventual diferença entre a(s) especificação(ões) do objeto descritas no “Sistema de Compras do Governo Federal (www.gov.br/compras)” e as especificações constantes neste edital de pregão eletrônico, prevalecerão as últimas especificações.</w:t>
      </w:r>
    </w:p>
    <w:p w14:paraId="5114C1C9" w14:textId="77777777" w:rsidR="007E48E9" w:rsidRDefault="00000000">
      <w:pPr>
        <w:pStyle w:val="PargrafodaLista"/>
        <w:numPr>
          <w:ilvl w:val="1"/>
          <w:numId w:val="3"/>
        </w:numPr>
        <w:tabs>
          <w:tab w:val="left" w:pos="602"/>
        </w:tabs>
        <w:spacing w:before="57" w:after="57" w:line="276" w:lineRule="auto"/>
        <w:ind w:left="0" w:firstLine="0"/>
        <w:contextualSpacing w:val="0"/>
        <w:jc w:val="both"/>
        <w:rPr>
          <w:rFonts w:ascii="Verdana" w:hAnsi="Verdana"/>
          <w:sz w:val="20"/>
          <w:szCs w:val="20"/>
        </w:rPr>
      </w:pPr>
      <w:r>
        <w:rPr>
          <w:rFonts w:ascii="Verdana" w:eastAsia="Batang" w:hAnsi="Verdana"/>
          <w:sz w:val="20"/>
          <w:szCs w:val="20"/>
          <w:lang w:eastAsia="en-US"/>
        </w:rPr>
        <w:t>É de responsabilidade do licitante conferir a exatidão dos seus dados cadastrais no SICAF, pois a habilitação jurídica, fiscal, social e trabalhista e econômico-financeira, será aferida por meio deste Sistema.</w:t>
      </w:r>
    </w:p>
    <w:p w14:paraId="245B19AF" w14:textId="77777777" w:rsidR="007E48E9" w:rsidRDefault="007E48E9">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eastAsia="Batang" w:hAnsi="Verdana"/>
          <w:b/>
          <w:sz w:val="20"/>
          <w:szCs w:val="20"/>
        </w:rPr>
      </w:pPr>
    </w:p>
    <w:p w14:paraId="55F503FF" w14:textId="77777777" w:rsidR="007E48E9" w:rsidRDefault="00000000">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rPr>
          <w:rFonts w:ascii="Verdana" w:hAnsi="Verdana"/>
          <w:sz w:val="20"/>
          <w:szCs w:val="20"/>
        </w:rPr>
      </w:pPr>
      <w:r>
        <w:rPr>
          <w:rFonts w:ascii="Verdana" w:eastAsia="Batang" w:hAnsi="Verdana"/>
          <w:b/>
          <w:sz w:val="20"/>
          <w:szCs w:val="20"/>
        </w:rPr>
        <w:t>II – FUNDAMENTAÇÃO</w:t>
      </w:r>
    </w:p>
    <w:p w14:paraId="33A73B08" w14:textId="77777777" w:rsidR="007E48E9"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2.1 – </w:t>
      </w:r>
      <w:r>
        <w:rPr>
          <w:rFonts w:ascii="Verdana" w:eastAsia="Batang" w:hAnsi="Verdana"/>
          <w:sz w:val="20"/>
          <w:szCs w:val="20"/>
        </w:rPr>
        <w:t>A presente licitação tem como fundamento a legislação citada bem como respeitar os seguintes preceitos:</w:t>
      </w:r>
    </w:p>
    <w:p w14:paraId="3190833D" w14:textId="77777777" w:rsidR="007E48E9"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a) </w:t>
      </w:r>
      <w:r>
        <w:rPr>
          <w:rFonts w:ascii="Verdana" w:eastAsia="Batang" w:hAnsi="Verdana"/>
          <w:sz w:val="20"/>
          <w:szCs w:val="20"/>
        </w:rPr>
        <w:t xml:space="preserve">Processo Administrativo </w:t>
      </w:r>
      <w:r>
        <w:rPr>
          <w:rFonts w:ascii="Verdana" w:eastAsia="Batang" w:hAnsi="Verdana"/>
          <w:b/>
          <w:sz w:val="20"/>
          <w:szCs w:val="20"/>
        </w:rPr>
        <w:t xml:space="preserve">nº 00085/2026 </w:t>
      </w:r>
      <w:r>
        <w:rPr>
          <w:rFonts w:ascii="Verdana" w:eastAsia="Batang" w:hAnsi="Verdana"/>
          <w:sz w:val="20"/>
          <w:szCs w:val="20"/>
        </w:rPr>
        <w:t>de 27/04/2026.</w:t>
      </w:r>
    </w:p>
    <w:p w14:paraId="10079321" w14:textId="77777777" w:rsidR="007E48E9"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b) </w:t>
      </w:r>
      <w:r>
        <w:rPr>
          <w:rFonts w:ascii="Verdana" w:eastAsia="Batang" w:hAnsi="Verdana"/>
          <w:sz w:val="20"/>
          <w:szCs w:val="20"/>
        </w:rPr>
        <w:t xml:space="preserve">Modalidade: Pregão Eletrônico </w:t>
      </w:r>
      <w:r>
        <w:rPr>
          <w:rFonts w:ascii="Verdana" w:eastAsia="Batang" w:hAnsi="Verdana"/>
          <w:b/>
          <w:sz w:val="20"/>
          <w:szCs w:val="20"/>
        </w:rPr>
        <w:t>nº 001/2026.</w:t>
      </w:r>
    </w:p>
    <w:p w14:paraId="0DA415E9" w14:textId="77777777" w:rsidR="007E48E9"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c) </w:t>
      </w:r>
      <w:r>
        <w:rPr>
          <w:rFonts w:ascii="Verdana" w:eastAsia="Batang" w:hAnsi="Verdana"/>
          <w:sz w:val="20"/>
          <w:szCs w:val="20"/>
        </w:rPr>
        <w:t>Critério de Julgamento:</w:t>
      </w:r>
      <w:r>
        <w:rPr>
          <w:rFonts w:ascii="Verdana" w:eastAsia="Batang" w:hAnsi="Verdana"/>
          <w:b/>
          <w:sz w:val="20"/>
          <w:szCs w:val="20"/>
        </w:rPr>
        <w:t xml:space="preserve"> M</w:t>
      </w:r>
      <w:r>
        <w:rPr>
          <w:rFonts w:ascii="Verdana" w:eastAsia="Batang" w:hAnsi="Verdana"/>
          <w:b/>
          <w:bCs/>
          <w:sz w:val="20"/>
          <w:szCs w:val="20"/>
        </w:rPr>
        <w:t>ENOR PREÇO GLOBAL</w:t>
      </w:r>
      <w:r>
        <w:rPr>
          <w:rFonts w:ascii="Verdana" w:eastAsia="Batang" w:hAnsi="Verdana"/>
          <w:b/>
          <w:sz w:val="20"/>
          <w:szCs w:val="20"/>
        </w:rPr>
        <w:t>.</w:t>
      </w:r>
    </w:p>
    <w:p w14:paraId="6AE9329B" w14:textId="77777777" w:rsidR="007E48E9"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d) </w:t>
      </w:r>
      <w:r>
        <w:rPr>
          <w:rFonts w:ascii="Verdana" w:eastAsia="Batang" w:hAnsi="Verdana"/>
          <w:sz w:val="20"/>
          <w:szCs w:val="20"/>
        </w:rPr>
        <w:t xml:space="preserve">Modo de disputa: </w:t>
      </w:r>
      <w:r>
        <w:rPr>
          <w:rFonts w:ascii="Verdana" w:eastAsia="Batang" w:hAnsi="Verdana"/>
          <w:b/>
          <w:bCs/>
          <w:sz w:val="20"/>
          <w:szCs w:val="20"/>
        </w:rPr>
        <w:t>ABERTO</w:t>
      </w:r>
    </w:p>
    <w:p w14:paraId="0F474F89" w14:textId="77777777" w:rsidR="007E48E9"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 xml:space="preserve">e) </w:t>
      </w:r>
      <w:r>
        <w:rPr>
          <w:rFonts w:ascii="Verdana" w:eastAsia="Batang" w:hAnsi="Verdana"/>
          <w:sz w:val="20"/>
          <w:szCs w:val="20"/>
        </w:rPr>
        <w:t xml:space="preserve">Local: Portal Compras </w:t>
      </w:r>
      <w:proofErr w:type="spellStart"/>
      <w:r>
        <w:rPr>
          <w:rFonts w:ascii="Verdana" w:eastAsia="Batang" w:hAnsi="Verdana"/>
          <w:sz w:val="20"/>
          <w:szCs w:val="20"/>
        </w:rPr>
        <w:t>Gov</w:t>
      </w:r>
      <w:proofErr w:type="spellEnd"/>
      <w:r>
        <w:rPr>
          <w:rFonts w:ascii="Verdana" w:eastAsia="Batang" w:hAnsi="Verdana"/>
          <w:sz w:val="20"/>
          <w:szCs w:val="20"/>
        </w:rPr>
        <w:t xml:space="preserve"> -</w:t>
      </w:r>
      <w:r>
        <w:rPr>
          <w:rFonts w:ascii="Verdana" w:hAnsi="Verdana" w:cs="Arial"/>
          <w:color w:val="000000"/>
          <w:sz w:val="20"/>
          <w:szCs w:val="20"/>
        </w:rPr>
        <w:t xml:space="preserve"> </w:t>
      </w:r>
      <w:r>
        <w:rPr>
          <w:rFonts w:ascii="Verdana" w:hAnsi="Verdana"/>
          <w:b/>
          <w:bCs/>
          <w:sz w:val="20"/>
          <w:szCs w:val="20"/>
          <w:u w:val="single"/>
        </w:rPr>
        <w:t>www.gov.br/compras</w:t>
      </w:r>
      <w:r>
        <w:rPr>
          <w:rFonts w:ascii="Verdana" w:hAnsi="Verdana"/>
          <w:b/>
          <w:bCs/>
          <w:sz w:val="20"/>
          <w:szCs w:val="20"/>
        </w:rPr>
        <w:t xml:space="preserve"> UASG - </w:t>
      </w:r>
      <w:r>
        <w:rPr>
          <w:rFonts w:ascii="Verdana" w:hAnsi="Verdana" w:cs="Arial"/>
          <w:b/>
          <w:bCs/>
          <w:i/>
          <w:iCs/>
          <w:sz w:val="20"/>
          <w:szCs w:val="20"/>
        </w:rPr>
        <w:t>933166</w:t>
      </w:r>
    </w:p>
    <w:p w14:paraId="3DC2EB8C" w14:textId="77777777" w:rsidR="007E48E9" w:rsidRDefault="00000000">
      <w:pPr>
        <w:pStyle w:val="Corpodetexto"/>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uppressAutoHyphens w:val="0"/>
        <w:spacing w:before="57" w:after="57" w:line="276" w:lineRule="auto"/>
        <w:rPr>
          <w:rFonts w:ascii="Verdana" w:hAnsi="Verdana"/>
          <w:sz w:val="20"/>
          <w:szCs w:val="20"/>
        </w:rPr>
      </w:pPr>
      <w:r>
        <w:rPr>
          <w:rFonts w:ascii="Verdana" w:eastAsia="Batang" w:hAnsi="Verdana"/>
          <w:b/>
          <w:sz w:val="20"/>
          <w:szCs w:val="20"/>
        </w:rPr>
        <w:t xml:space="preserve">f) </w:t>
      </w:r>
      <w:r>
        <w:rPr>
          <w:rFonts w:ascii="Verdana" w:eastAsia="Batang" w:hAnsi="Verdana"/>
          <w:sz w:val="20"/>
          <w:szCs w:val="20"/>
        </w:rPr>
        <w:t>Ato de designação do Pregoeiro e equipe de apoio: Lei 3.231/2024 c/c Termo de Cooperação Técnica c/c Portaria nº 7.241/2023.</w:t>
      </w:r>
    </w:p>
    <w:p w14:paraId="79D33D36" w14:textId="77777777" w:rsidR="007E48E9" w:rsidRDefault="007E48E9">
      <w:pPr>
        <w:pStyle w:val="Corpodetexto"/>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uppressAutoHyphens w:val="0"/>
        <w:spacing w:before="57" w:after="57" w:line="276" w:lineRule="auto"/>
        <w:rPr>
          <w:rFonts w:ascii="Verdana" w:eastAsia="Batang" w:hAnsi="Verdana"/>
          <w:b/>
          <w:sz w:val="20"/>
          <w:szCs w:val="20"/>
          <w:u w:val="single"/>
        </w:rPr>
      </w:pPr>
    </w:p>
    <w:p w14:paraId="37E03B47" w14:textId="77777777" w:rsidR="007E48E9" w:rsidRDefault="00000000">
      <w:pPr>
        <w:pBdr>
          <w:bottom w:val="double" w:sz="4" w:space="1" w:color="000000"/>
        </w:pBd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rPr>
          <w:rFonts w:ascii="Verdana" w:hAnsi="Verdana"/>
          <w:sz w:val="20"/>
          <w:szCs w:val="20"/>
        </w:rPr>
      </w:pPr>
      <w:r>
        <w:rPr>
          <w:rFonts w:ascii="Verdana" w:eastAsia="Batang" w:hAnsi="Verdana"/>
          <w:b/>
          <w:sz w:val="20"/>
          <w:szCs w:val="20"/>
        </w:rPr>
        <w:t>III – OBJETO</w:t>
      </w:r>
    </w:p>
    <w:p w14:paraId="304ED39B" w14:textId="059DC92D" w:rsidR="007E48E9"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3.1 </w:t>
      </w:r>
      <w:r>
        <w:rPr>
          <w:rFonts w:ascii="Verdana" w:eastAsia="Batang" w:hAnsi="Verdana"/>
          <w:sz w:val="20"/>
          <w:szCs w:val="20"/>
        </w:rPr>
        <w:t xml:space="preserve">– </w:t>
      </w:r>
      <w:bookmarkStart w:id="2" w:name="_Hlk232084286"/>
      <w:r>
        <w:rPr>
          <w:rFonts w:ascii="Verdana" w:eastAsia="Times New Roman" w:hAnsi="Verdana"/>
          <w:sz w:val="20"/>
          <w:szCs w:val="20"/>
        </w:rPr>
        <w:t>C</w:t>
      </w:r>
      <w:r>
        <w:rPr>
          <w:rFonts w:ascii="Verdana" w:eastAsia="Times New Roman" w:hAnsi="Verdana" w:cs="Arial"/>
          <w:sz w:val="20"/>
          <w:szCs w:val="20"/>
        </w:rPr>
        <w:t xml:space="preserve">ontratação de empresa especializada para Prestação de Serviços de Soluções para Gerenciamento </w:t>
      </w:r>
      <w:r>
        <w:rPr>
          <w:rFonts w:ascii="Verdana" w:eastAsia="Times New Roman" w:hAnsi="Verdana" w:cs="Arial"/>
          <w:bCs/>
          <w:sz w:val="20"/>
          <w:szCs w:val="20"/>
          <w:shd w:val="clear" w:color="auto" w:fill="FFFFFF"/>
        </w:rPr>
        <w:t>e Processamento das Rotinas Administrativas e Transparência da Caixa de Assistência dos Servidores Públicos do Município de São Gabriel da Palha – ES (fornecimento dos softwares, suporte técnico, adequações, personalizações e atualizações durante todo o seu período de vigência)</w:t>
      </w:r>
      <w:bookmarkEnd w:id="2"/>
      <w:r>
        <w:rPr>
          <w:rFonts w:ascii="Verdana" w:eastAsia="Times New Roman" w:hAnsi="Verdana" w:cs="Arial"/>
          <w:bCs/>
          <w:sz w:val="20"/>
          <w:szCs w:val="20"/>
          <w:shd w:val="clear" w:color="auto" w:fill="FFFFFF"/>
        </w:rPr>
        <w:t>.</w:t>
      </w:r>
    </w:p>
    <w:p w14:paraId="5B18BFB8" w14:textId="77777777" w:rsidR="007E48E9"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eastAsia="Times New Roman" w:hAnsi="Verdana" w:cs="Arial"/>
          <w:sz w:val="20"/>
          <w:szCs w:val="20"/>
        </w:rPr>
      </w:pPr>
      <w:r>
        <w:rPr>
          <w:rFonts w:ascii="Verdana" w:eastAsia="Times New Roman" w:hAnsi="Verdana" w:cs="Arial"/>
          <w:sz w:val="20"/>
          <w:szCs w:val="20"/>
        </w:rPr>
        <w:t>3.3 – O prazo de vigência da contratação será de 12 (doze), meses contados a partir da assinatura do contrato, podendo ser prorrogado na forma da lei vigente pelo período de até 10 (dez) anos.</w:t>
      </w:r>
    </w:p>
    <w:tbl>
      <w:tblPr>
        <w:tblW w:w="10601" w:type="dxa"/>
        <w:tblInd w:w="-413" w:type="dxa"/>
        <w:tblLayout w:type="fixed"/>
        <w:tblCellMar>
          <w:top w:w="55" w:type="dxa"/>
          <w:left w:w="55" w:type="dxa"/>
          <w:bottom w:w="55" w:type="dxa"/>
          <w:right w:w="55" w:type="dxa"/>
        </w:tblCellMar>
        <w:tblLook w:val="0000" w:firstRow="0" w:lastRow="0" w:firstColumn="0" w:lastColumn="0" w:noHBand="0" w:noVBand="0"/>
      </w:tblPr>
      <w:tblGrid>
        <w:gridCol w:w="676"/>
        <w:gridCol w:w="1200"/>
        <w:gridCol w:w="1079"/>
        <w:gridCol w:w="1080"/>
        <w:gridCol w:w="3390"/>
        <w:gridCol w:w="1530"/>
        <w:gridCol w:w="1646"/>
      </w:tblGrid>
      <w:tr w:rsidR="007E48E9" w14:paraId="448BC70A" w14:textId="77777777">
        <w:trPr>
          <w:trHeight w:val="120"/>
        </w:trPr>
        <w:tc>
          <w:tcPr>
            <w:tcW w:w="10600" w:type="dxa"/>
            <w:gridSpan w:val="7"/>
            <w:tcBorders>
              <w:top w:val="single" w:sz="2" w:space="0" w:color="000000"/>
              <w:left w:val="single" w:sz="2" w:space="0" w:color="000000"/>
              <w:bottom w:val="single" w:sz="2" w:space="0" w:color="000000"/>
              <w:right w:val="single" w:sz="2" w:space="0" w:color="000000"/>
            </w:tcBorders>
            <w:vAlign w:val="center"/>
          </w:tcPr>
          <w:p w14:paraId="5F7FCA96" w14:textId="77777777" w:rsidR="007E48E9" w:rsidRDefault="00000000">
            <w:pPr>
              <w:pStyle w:val="Contedodatabela"/>
              <w:spacing w:after="113"/>
              <w:jc w:val="center"/>
              <w:rPr>
                <w:rFonts w:ascii="Verdana" w:hAnsi="Verdana"/>
                <w:b/>
                <w:color w:val="000000"/>
                <w:sz w:val="20"/>
                <w:szCs w:val="20"/>
              </w:rPr>
            </w:pPr>
            <w:r>
              <w:rPr>
                <w:rFonts w:ascii="Verdana" w:hAnsi="Verdana"/>
                <w:b/>
                <w:color w:val="000000"/>
                <w:sz w:val="20"/>
                <w:szCs w:val="20"/>
              </w:rPr>
              <w:lastRenderedPageBreak/>
              <w:t>IMPLANTAÇÃO / TREINAMENTO</w:t>
            </w:r>
          </w:p>
        </w:tc>
      </w:tr>
      <w:tr w:rsidR="007E48E9" w14:paraId="48186A98" w14:textId="77777777">
        <w:tc>
          <w:tcPr>
            <w:tcW w:w="675" w:type="dxa"/>
            <w:tcBorders>
              <w:left w:val="single" w:sz="2" w:space="0" w:color="000000"/>
              <w:bottom w:val="single" w:sz="2" w:space="0" w:color="000000"/>
            </w:tcBorders>
            <w:vAlign w:val="center"/>
          </w:tcPr>
          <w:p w14:paraId="415FAFB6"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Item</w:t>
            </w:r>
          </w:p>
        </w:tc>
        <w:tc>
          <w:tcPr>
            <w:tcW w:w="1200" w:type="dxa"/>
            <w:tcBorders>
              <w:left w:val="single" w:sz="2" w:space="0" w:color="000000"/>
              <w:bottom w:val="single" w:sz="2" w:space="0" w:color="000000"/>
            </w:tcBorders>
            <w:vAlign w:val="center"/>
          </w:tcPr>
          <w:p w14:paraId="0EE4B43C"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Fonte Pesquisa</w:t>
            </w:r>
          </w:p>
        </w:tc>
        <w:tc>
          <w:tcPr>
            <w:tcW w:w="1079" w:type="dxa"/>
            <w:tcBorders>
              <w:left w:val="single" w:sz="2" w:space="0" w:color="000000"/>
              <w:bottom w:val="single" w:sz="2" w:space="0" w:color="000000"/>
            </w:tcBorders>
            <w:vAlign w:val="center"/>
          </w:tcPr>
          <w:p w14:paraId="76E31079"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Quant. Máxima Prevista</w:t>
            </w:r>
          </w:p>
        </w:tc>
        <w:tc>
          <w:tcPr>
            <w:tcW w:w="1080" w:type="dxa"/>
            <w:tcBorders>
              <w:left w:val="single" w:sz="2" w:space="0" w:color="000000"/>
              <w:bottom w:val="single" w:sz="2" w:space="0" w:color="000000"/>
            </w:tcBorders>
            <w:vAlign w:val="center"/>
          </w:tcPr>
          <w:p w14:paraId="7FFBF860" w14:textId="77777777" w:rsidR="007E48E9" w:rsidRDefault="00000000">
            <w:pPr>
              <w:pStyle w:val="Contedodatabela"/>
              <w:spacing w:after="113"/>
              <w:jc w:val="center"/>
              <w:rPr>
                <w:rFonts w:ascii="Verdana" w:hAnsi="Verdana"/>
                <w:b/>
                <w:bCs/>
                <w:sz w:val="20"/>
                <w:szCs w:val="20"/>
              </w:rPr>
            </w:pPr>
            <w:r>
              <w:rPr>
                <w:rFonts w:ascii="Verdana" w:hAnsi="Verdana"/>
                <w:b/>
                <w:bCs/>
                <w:sz w:val="20"/>
                <w:szCs w:val="20"/>
              </w:rPr>
              <w:t>Unid.</w:t>
            </w:r>
          </w:p>
        </w:tc>
        <w:tc>
          <w:tcPr>
            <w:tcW w:w="3390" w:type="dxa"/>
            <w:tcBorders>
              <w:left w:val="single" w:sz="2" w:space="0" w:color="000000"/>
              <w:bottom w:val="single" w:sz="2" w:space="0" w:color="000000"/>
            </w:tcBorders>
            <w:vAlign w:val="center"/>
          </w:tcPr>
          <w:p w14:paraId="007475FD" w14:textId="77777777" w:rsidR="007E48E9" w:rsidRDefault="00000000">
            <w:pPr>
              <w:pStyle w:val="Contedodatabela"/>
              <w:spacing w:after="113"/>
              <w:jc w:val="center"/>
              <w:rPr>
                <w:rFonts w:ascii="Verdana" w:hAnsi="Verdana"/>
                <w:b/>
                <w:bCs/>
                <w:sz w:val="20"/>
                <w:szCs w:val="20"/>
              </w:rPr>
            </w:pPr>
            <w:r>
              <w:rPr>
                <w:rFonts w:ascii="Verdana" w:hAnsi="Verdana"/>
                <w:b/>
                <w:bCs/>
                <w:sz w:val="20"/>
                <w:szCs w:val="20"/>
              </w:rPr>
              <w:t>Descrição</w:t>
            </w:r>
          </w:p>
        </w:tc>
        <w:tc>
          <w:tcPr>
            <w:tcW w:w="1530" w:type="dxa"/>
            <w:tcBorders>
              <w:left w:val="single" w:sz="2" w:space="0" w:color="000000"/>
              <w:bottom w:val="single" w:sz="2" w:space="0" w:color="000000"/>
            </w:tcBorders>
            <w:vAlign w:val="center"/>
          </w:tcPr>
          <w:p w14:paraId="0EDF08CF"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Valor Unitário Estimado</w:t>
            </w:r>
          </w:p>
        </w:tc>
        <w:tc>
          <w:tcPr>
            <w:tcW w:w="1646" w:type="dxa"/>
            <w:tcBorders>
              <w:left w:val="single" w:sz="2" w:space="0" w:color="000000"/>
              <w:bottom w:val="single" w:sz="2" w:space="0" w:color="000000"/>
              <w:right w:val="single" w:sz="2" w:space="0" w:color="000000"/>
            </w:tcBorders>
            <w:vAlign w:val="center"/>
          </w:tcPr>
          <w:p w14:paraId="1D61B2E3"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Valor Total Estimado</w:t>
            </w:r>
          </w:p>
        </w:tc>
      </w:tr>
      <w:tr w:rsidR="007E48E9" w14:paraId="5ACCD9EE" w14:textId="77777777">
        <w:tc>
          <w:tcPr>
            <w:tcW w:w="675" w:type="dxa"/>
            <w:tcBorders>
              <w:left w:val="single" w:sz="2" w:space="0" w:color="000000"/>
              <w:bottom w:val="single" w:sz="2" w:space="0" w:color="000000"/>
            </w:tcBorders>
            <w:vAlign w:val="center"/>
          </w:tcPr>
          <w:p w14:paraId="6BBE2D48" w14:textId="77777777" w:rsidR="007E48E9" w:rsidRDefault="00000000">
            <w:pPr>
              <w:pStyle w:val="Contedodatabela"/>
              <w:spacing w:after="113"/>
              <w:jc w:val="center"/>
              <w:rPr>
                <w:rFonts w:ascii="Verdana" w:hAnsi="Verdana"/>
                <w:sz w:val="20"/>
                <w:szCs w:val="20"/>
              </w:rPr>
            </w:pPr>
            <w:r>
              <w:rPr>
                <w:rFonts w:ascii="Verdana" w:hAnsi="Verdana"/>
                <w:sz w:val="20"/>
                <w:szCs w:val="20"/>
              </w:rPr>
              <w:t>01</w:t>
            </w:r>
          </w:p>
        </w:tc>
        <w:tc>
          <w:tcPr>
            <w:tcW w:w="1200" w:type="dxa"/>
            <w:vMerge w:val="restart"/>
            <w:tcBorders>
              <w:left w:val="single" w:sz="2" w:space="0" w:color="000000"/>
              <w:bottom w:val="single" w:sz="2" w:space="0" w:color="000000"/>
            </w:tcBorders>
            <w:vAlign w:val="center"/>
          </w:tcPr>
          <w:p w14:paraId="79DC266D"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PNCP</w:t>
            </w:r>
          </w:p>
        </w:tc>
        <w:tc>
          <w:tcPr>
            <w:tcW w:w="1079" w:type="dxa"/>
            <w:tcBorders>
              <w:left w:val="single" w:sz="2" w:space="0" w:color="000000"/>
              <w:bottom w:val="single" w:sz="2" w:space="0" w:color="000000"/>
            </w:tcBorders>
            <w:vAlign w:val="center"/>
          </w:tcPr>
          <w:p w14:paraId="0DBB2CCB" w14:textId="77777777" w:rsidR="007E48E9" w:rsidRDefault="00000000">
            <w:pPr>
              <w:pStyle w:val="Contedodatabela"/>
              <w:spacing w:after="113"/>
              <w:jc w:val="center"/>
              <w:rPr>
                <w:rFonts w:ascii="Verdana" w:hAnsi="Verdana"/>
                <w:sz w:val="20"/>
                <w:szCs w:val="20"/>
              </w:rPr>
            </w:pPr>
            <w:r>
              <w:rPr>
                <w:rFonts w:ascii="Verdana" w:hAnsi="Verdana"/>
                <w:sz w:val="20"/>
                <w:szCs w:val="20"/>
              </w:rPr>
              <w:t>01</w:t>
            </w:r>
          </w:p>
        </w:tc>
        <w:tc>
          <w:tcPr>
            <w:tcW w:w="1080" w:type="dxa"/>
            <w:tcBorders>
              <w:left w:val="single" w:sz="2" w:space="0" w:color="000000"/>
              <w:bottom w:val="single" w:sz="2" w:space="0" w:color="000000"/>
            </w:tcBorders>
            <w:vAlign w:val="center"/>
          </w:tcPr>
          <w:p w14:paraId="60B231B3" w14:textId="77777777" w:rsidR="007E48E9" w:rsidRDefault="00000000">
            <w:pPr>
              <w:pStyle w:val="Contedodatabela"/>
              <w:spacing w:after="113"/>
              <w:jc w:val="center"/>
              <w:rPr>
                <w:rFonts w:ascii="Verdana" w:hAnsi="Verdana"/>
                <w:sz w:val="20"/>
                <w:szCs w:val="20"/>
              </w:rPr>
            </w:pPr>
            <w:r>
              <w:rPr>
                <w:rFonts w:ascii="Verdana" w:hAnsi="Verdana"/>
                <w:sz w:val="20"/>
                <w:szCs w:val="20"/>
              </w:rPr>
              <w:t>Serviço</w:t>
            </w:r>
          </w:p>
        </w:tc>
        <w:tc>
          <w:tcPr>
            <w:tcW w:w="3390" w:type="dxa"/>
            <w:tcBorders>
              <w:left w:val="single" w:sz="2" w:space="0" w:color="000000"/>
              <w:bottom w:val="single" w:sz="2" w:space="0" w:color="000000"/>
            </w:tcBorders>
            <w:vAlign w:val="center"/>
          </w:tcPr>
          <w:p w14:paraId="2F298495" w14:textId="77777777" w:rsidR="007E48E9" w:rsidRDefault="00000000">
            <w:pPr>
              <w:pStyle w:val="Contedodatabela"/>
              <w:spacing w:after="113"/>
              <w:jc w:val="both"/>
              <w:rPr>
                <w:rFonts w:ascii="Verdana" w:hAnsi="Verdana"/>
                <w:sz w:val="20"/>
                <w:szCs w:val="20"/>
              </w:rPr>
            </w:pPr>
            <w:r>
              <w:rPr>
                <w:rFonts w:ascii="Verdana" w:hAnsi="Verdana"/>
                <w:sz w:val="20"/>
                <w:szCs w:val="20"/>
              </w:rPr>
              <w:t>Implantação, instalação, migração, conversão de dados, customização e treinamento do Sistema Integrado de Compras, Licitações e Contratos</w:t>
            </w:r>
          </w:p>
        </w:tc>
        <w:tc>
          <w:tcPr>
            <w:tcW w:w="1530" w:type="dxa"/>
            <w:tcBorders>
              <w:left w:val="single" w:sz="2" w:space="0" w:color="000000"/>
              <w:bottom w:val="single" w:sz="2" w:space="0" w:color="000000"/>
            </w:tcBorders>
            <w:vAlign w:val="center"/>
          </w:tcPr>
          <w:p w14:paraId="66D018D3"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c>
          <w:tcPr>
            <w:tcW w:w="1646" w:type="dxa"/>
            <w:tcBorders>
              <w:left w:val="single" w:sz="2" w:space="0" w:color="000000"/>
              <w:bottom w:val="single" w:sz="2" w:space="0" w:color="000000"/>
              <w:right w:val="single" w:sz="2" w:space="0" w:color="000000"/>
            </w:tcBorders>
            <w:vAlign w:val="center"/>
          </w:tcPr>
          <w:p w14:paraId="5855488B"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r>
      <w:tr w:rsidR="007E48E9" w14:paraId="13B3E3C2" w14:textId="77777777">
        <w:tc>
          <w:tcPr>
            <w:tcW w:w="675" w:type="dxa"/>
            <w:tcBorders>
              <w:left w:val="single" w:sz="2" w:space="0" w:color="000000"/>
              <w:bottom w:val="single" w:sz="2" w:space="0" w:color="000000"/>
            </w:tcBorders>
            <w:vAlign w:val="center"/>
          </w:tcPr>
          <w:p w14:paraId="7FD16CB4"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02</w:t>
            </w:r>
          </w:p>
        </w:tc>
        <w:tc>
          <w:tcPr>
            <w:tcW w:w="1200" w:type="dxa"/>
            <w:vMerge/>
            <w:tcBorders>
              <w:left w:val="single" w:sz="2" w:space="0" w:color="000000"/>
              <w:bottom w:val="single" w:sz="2" w:space="0" w:color="000000"/>
            </w:tcBorders>
            <w:vAlign w:val="center"/>
          </w:tcPr>
          <w:p w14:paraId="20442F27" w14:textId="77777777" w:rsidR="007E48E9" w:rsidRDefault="007E48E9">
            <w:pPr>
              <w:rPr>
                <w:rFonts w:ascii="Verdana" w:hAnsi="Verdana"/>
                <w:sz w:val="20"/>
                <w:szCs w:val="20"/>
              </w:rPr>
            </w:pPr>
          </w:p>
        </w:tc>
        <w:tc>
          <w:tcPr>
            <w:tcW w:w="1079" w:type="dxa"/>
            <w:tcBorders>
              <w:left w:val="single" w:sz="2" w:space="0" w:color="000000"/>
              <w:bottom w:val="single" w:sz="2" w:space="0" w:color="000000"/>
            </w:tcBorders>
            <w:vAlign w:val="center"/>
          </w:tcPr>
          <w:p w14:paraId="72D1A516"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01</w:t>
            </w:r>
          </w:p>
        </w:tc>
        <w:tc>
          <w:tcPr>
            <w:tcW w:w="1080" w:type="dxa"/>
            <w:tcBorders>
              <w:left w:val="single" w:sz="2" w:space="0" w:color="000000"/>
              <w:bottom w:val="single" w:sz="2" w:space="0" w:color="000000"/>
            </w:tcBorders>
            <w:vAlign w:val="center"/>
          </w:tcPr>
          <w:p w14:paraId="6FB7267D" w14:textId="77777777" w:rsidR="007E48E9" w:rsidRDefault="00000000">
            <w:pPr>
              <w:pStyle w:val="Contedodatabela"/>
              <w:spacing w:after="113"/>
              <w:jc w:val="center"/>
              <w:rPr>
                <w:rFonts w:ascii="Verdana" w:hAnsi="Verdana"/>
                <w:sz w:val="20"/>
                <w:szCs w:val="20"/>
              </w:rPr>
            </w:pPr>
            <w:r>
              <w:rPr>
                <w:rFonts w:ascii="Verdana" w:hAnsi="Verdana"/>
                <w:sz w:val="20"/>
                <w:szCs w:val="20"/>
              </w:rPr>
              <w:t>Serviço</w:t>
            </w:r>
          </w:p>
        </w:tc>
        <w:tc>
          <w:tcPr>
            <w:tcW w:w="3390" w:type="dxa"/>
            <w:tcBorders>
              <w:left w:val="single" w:sz="2" w:space="0" w:color="000000"/>
              <w:bottom w:val="single" w:sz="2" w:space="0" w:color="000000"/>
            </w:tcBorders>
            <w:vAlign w:val="center"/>
          </w:tcPr>
          <w:p w14:paraId="604C8005" w14:textId="77777777" w:rsidR="007E48E9" w:rsidRDefault="00000000">
            <w:pPr>
              <w:pStyle w:val="Contedodatabela"/>
              <w:spacing w:after="113"/>
              <w:jc w:val="both"/>
              <w:rPr>
                <w:rFonts w:ascii="Verdana" w:hAnsi="Verdana"/>
                <w:color w:val="000000"/>
                <w:sz w:val="20"/>
                <w:szCs w:val="20"/>
              </w:rPr>
            </w:pPr>
            <w:r>
              <w:rPr>
                <w:rFonts w:ascii="Verdana" w:hAnsi="Verdana"/>
                <w:color w:val="000000"/>
                <w:sz w:val="20"/>
                <w:szCs w:val="20"/>
              </w:rPr>
              <w:t>Implantação, instalação, migração, conversão de dados, customização e treinamento do Sistema Integrado de Almoxarifado</w:t>
            </w:r>
          </w:p>
        </w:tc>
        <w:tc>
          <w:tcPr>
            <w:tcW w:w="1530" w:type="dxa"/>
            <w:tcBorders>
              <w:left w:val="single" w:sz="2" w:space="0" w:color="000000"/>
              <w:bottom w:val="single" w:sz="2" w:space="0" w:color="000000"/>
            </w:tcBorders>
            <w:vAlign w:val="center"/>
          </w:tcPr>
          <w:p w14:paraId="71D82E55"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c>
          <w:tcPr>
            <w:tcW w:w="1646" w:type="dxa"/>
            <w:tcBorders>
              <w:left w:val="single" w:sz="2" w:space="0" w:color="000000"/>
              <w:bottom w:val="single" w:sz="2" w:space="0" w:color="000000"/>
              <w:right w:val="single" w:sz="2" w:space="0" w:color="000000"/>
            </w:tcBorders>
            <w:vAlign w:val="center"/>
          </w:tcPr>
          <w:p w14:paraId="0D767003"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r>
      <w:tr w:rsidR="007E48E9" w14:paraId="3EDC4CF1" w14:textId="77777777">
        <w:tc>
          <w:tcPr>
            <w:tcW w:w="675" w:type="dxa"/>
            <w:tcBorders>
              <w:left w:val="single" w:sz="2" w:space="0" w:color="000000"/>
              <w:bottom w:val="single" w:sz="2" w:space="0" w:color="000000"/>
            </w:tcBorders>
            <w:vAlign w:val="center"/>
          </w:tcPr>
          <w:p w14:paraId="77353395"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03</w:t>
            </w:r>
          </w:p>
        </w:tc>
        <w:tc>
          <w:tcPr>
            <w:tcW w:w="1200" w:type="dxa"/>
            <w:vMerge/>
            <w:tcBorders>
              <w:left w:val="single" w:sz="2" w:space="0" w:color="000000"/>
              <w:bottom w:val="single" w:sz="2" w:space="0" w:color="000000"/>
            </w:tcBorders>
            <w:vAlign w:val="center"/>
          </w:tcPr>
          <w:p w14:paraId="4F08DE7A" w14:textId="77777777" w:rsidR="007E48E9" w:rsidRDefault="007E48E9">
            <w:pPr>
              <w:rPr>
                <w:rFonts w:ascii="Verdana" w:hAnsi="Verdana"/>
                <w:sz w:val="20"/>
                <w:szCs w:val="20"/>
              </w:rPr>
            </w:pPr>
          </w:p>
        </w:tc>
        <w:tc>
          <w:tcPr>
            <w:tcW w:w="1079" w:type="dxa"/>
            <w:tcBorders>
              <w:left w:val="single" w:sz="2" w:space="0" w:color="000000"/>
              <w:bottom w:val="single" w:sz="2" w:space="0" w:color="000000"/>
            </w:tcBorders>
            <w:vAlign w:val="center"/>
          </w:tcPr>
          <w:p w14:paraId="224BD832"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01</w:t>
            </w:r>
          </w:p>
        </w:tc>
        <w:tc>
          <w:tcPr>
            <w:tcW w:w="1080" w:type="dxa"/>
            <w:tcBorders>
              <w:left w:val="single" w:sz="2" w:space="0" w:color="000000"/>
              <w:bottom w:val="single" w:sz="2" w:space="0" w:color="000000"/>
              <w:right w:val="single" w:sz="2" w:space="0" w:color="000000"/>
            </w:tcBorders>
            <w:vAlign w:val="center"/>
          </w:tcPr>
          <w:p w14:paraId="52B1C2E4" w14:textId="77777777" w:rsidR="007E48E9" w:rsidRDefault="00000000">
            <w:pPr>
              <w:pStyle w:val="Contedodatabela"/>
              <w:spacing w:after="113"/>
              <w:jc w:val="center"/>
              <w:rPr>
                <w:rFonts w:ascii="Verdana" w:hAnsi="Verdana"/>
                <w:sz w:val="20"/>
                <w:szCs w:val="20"/>
              </w:rPr>
            </w:pPr>
            <w:r>
              <w:rPr>
                <w:rFonts w:ascii="Verdana" w:hAnsi="Verdana"/>
                <w:sz w:val="20"/>
                <w:szCs w:val="20"/>
              </w:rPr>
              <w:t>Serviço</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088E7EAC" w14:textId="77777777" w:rsidR="007E48E9" w:rsidRDefault="00000000">
            <w:pPr>
              <w:pStyle w:val="Contedodatabela"/>
              <w:spacing w:after="113"/>
              <w:jc w:val="both"/>
              <w:rPr>
                <w:rFonts w:ascii="Verdana" w:hAnsi="Verdana"/>
                <w:color w:val="000000"/>
                <w:sz w:val="20"/>
                <w:szCs w:val="20"/>
              </w:rPr>
            </w:pPr>
            <w:r>
              <w:rPr>
                <w:rFonts w:ascii="Verdana" w:hAnsi="Verdana"/>
                <w:color w:val="000000"/>
                <w:sz w:val="20"/>
                <w:szCs w:val="20"/>
              </w:rPr>
              <w:t>Implantação, instalação, migração, conversão de dados, customização e treinamento do Sistema Integrado de Controle de Bens Patrimoniais</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5D9E37CB"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9CF4023"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r>
      <w:tr w:rsidR="007E48E9" w14:paraId="2315FA70" w14:textId="77777777">
        <w:tc>
          <w:tcPr>
            <w:tcW w:w="675" w:type="dxa"/>
            <w:tcBorders>
              <w:left w:val="single" w:sz="2" w:space="0" w:color="000000"/>
              <w:bottom w:val="single" w:sz="2" w:space="0" w:color="000000"/>
            </w:tcBorders>
            <w:vAlign w:val="center"/>
          </w:tcPr>
          <w:p w14:paraId="2480854E"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04</w:t>
            </w:r>
          </w:p>
        </w:tc>
        <w:tc>
          <w:tcPr>
            <w:tcW w:w="1200" w:type="dxa"/>
            <w:vMerge/>
            <w:tcBorders>
              <w:left w:val="single" w:sz="2" w:space="0" w:color="000000"/>
              <w:bottom w:val="single" w:sz="2" w:space="0" w:color="000000"/>
            </w:tcBorders>
            <w:vAlign w:val="center"/>
          </w:tcPr>
          <w:p w14:paraId="7186CD4F" w14:textId="77777777" w:rsidR="007E48E9" w:rsidRDefault="007E48E9">
            <w:pPr>
              <w:rPr>
                <w:rFonts w:ascii="Verdana" w:hAnsi="Verdana"/>
                <w:sz w:val="20"/>
                <w:szCs w:val="20"/>
              </w:rPr>
            </w:pPr>
          </w:p>
        </w:tc>
        <w:tc>
          <w:tcPr>
            <w:tcW w:w="1079" w:type="dxa"/>
            <w:tcBorders>
              <w:left w:val="single" w:sz="2" w:space="0" w:color="000000"/>
              <w:bottom w:val="single" w:sz="2" w:space="0" w:color="000000"/>
            </w:tcBorders>
            <w:vAlign w:val="center"/>
          </w:tcPr>
          <w:p w14:paraId="5B7F56F2"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01</w:t>
            </w:r>
          </w:p>
        </w:tc>
        <w:tc>
          <w:tcPr>
            <w:tcW w:w="1080" w:type="dxa"/>
            <w:tcBorders>
              <w:left w:val="single" w:sz="2" w:space="0" w:color="000000"/>
              <w:bottom w:val="single" w:sz="2" w:space="0" w:color="000000"/>
              <w:right w:val="single" w:sz="2" w:space="0" w:color="000000"/>
            </w:tcBorders>
            <w:vAlign w:val="center"/>
          </w:tcPr>
          <w:p w14:paraId="3F375682" w14:textId="77777777" w:rsidR="007E48E9" w:rsidRDefault="00000000">
            <w:pPr>
              <w:pStyle w:val="Contedodatabela"/>
              <w:spacing w:after="113"/>
              <w:jc w:val="center"/>
              <w:rPr>
                <w:rFonts w:ascii="Verdana" w:hAnsi="Verdana"/>
                <w:sz w:val="20"/>
                <w:szCs w:val="20"/>
              </w:rPr>
            </w:pPr>
            <w:r>
              <w:rPr>
                <w:rFonts w:ascii="Verdana" w:hAnsi="Verdana"/>
                <w:sz w:val="20"/>
                <w:szCs w:val="20"/>
              </w:rPr>
              <w:t>Serviço</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48FE95D6" w14:textId="77777777" w:rsidR="007E48E9" w:rsidRDefault="00000000">
            <w:pPr>
              <w:pStyle w:val="Contedodatabela"/>
              <w:spacing w:after="113"/>
              <w:jc w:val="both"/>
              <w:rPr>
                <w:rFonts w:ascii="Verdana" w:hAnsi="Verdana"/>
                <w:color w:val="000000"/>
                <w:sz w:val="20"/>
                <w:szCs w:val="20"/>
              </w:rPr>
            </w:pPr>
            <w:r>
              <w:rPr>
                <w:rFonts w:ascii="Verdana" w:hAnsi="Verdana"/>
                <w:color w:val="000000"/>
                <w:sz w:val="20"/>
                <w:szCs w:val="20"/>
              </w:rPr>
              <w:t>Implantação, instalação, migração, conversão de dados, customização e treinamento do Sistema Integrado de Serviços Portal da Transparência</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69C7200F"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725E02E"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r>
      <w:tr w:rsidR="007E48E9" w14:paraId="7D8F14C2" w14:textId="77777777">
        <w:tc>
          <w:tcPr>
            <w:tcW w:w="675" w:type="dxa"/>
            <w:tcBorders>
              <w:left w:val="single" w:sz="2" w:space="0" w:color="000000"/>
              <w:bottom w:val="single" w:sz="2" w:space="0" w:color="000000"/>
            </w:tcBorders>
            <w:vAlign w:val="center"/>
          </w:tcPr>
          <w:p w14:paraId="1D35573B" w14:textId="77777777" w:rsidR="007E48E9" w:rsidRDefault="00000000">
            <w:pPr>
              <w:pStyle w:val="Contedodatabela"/>
              <w:spacing w:after="113"/>
              <w:jc w:val="center"/>
              <w:rPr>
                <w:rFonts w:ascii="Verdana" w:hAnsi="Verdana"/>
                <w:sz w:val="20"/>
                <w:szCs w:val="20"/>
              </w:rPr>
            </w:pPr>
            <w:r>
              <w:rPr>
                <w:rFonts w:ascii="Verdana" w:hAnsi="Verdana"/>
                <w:sz w:val="20"/>
                <w:szCs w:val="20"/>
              </w:rPr>
              <w:t>05</w:t>
            </w:r>
          </w:p>
        </w:tc>
        <w:tc>
          <w:tcPr>
            <w:tcW w:w="1200" w:type="dxa"/>
            <w:tcBorders>
              <w:left w:val="single" w:sz="2" w:space="0" w:color="000000"/>
              <w:bottom w:val="single" w:sz="2" w:space="0" w:color="000000"/>
            </w:tcBorders>
            <w:vAlign w:val="center"/>
          </w:tcPr>
          <w:p w14:paraId="22604349" w14:textId="77777777" w:rsidR="007E48E9" w:rsidRDefault="007E48E9">
            <w:pPr>
              <w:pStyle w:val="Contedodatabela"/>
              <w:spacing w:after="113"/>
              <w:jc w:val="center"/>
              <w:rPr>
                <w:rFonts w:ascii="Verdana" w:hAnsi="Verdana"/>
                <w:color w:val="000000"/>
                <w:sz w:val="20"/>
                <w:szCs w:val="20"/>
              </w:rPr>
            </w:pPr>
          </w:p>
        </w:tc>
        <w:tc>
          <w:tcPr>
            <w:tcW w:w="1079" w:type="dxa"/>
            <w:tcBorders>
              <w:left w:val="single" w:sz="2" w:space="0" w:color="000000"/>
              <w:bottom w:val="single" w:sz="2" w:space="0" w:color="000000"/>
            </w:tcBorders>
            <w:vAlign w:val="center"/>
          </w:tcPr>
          <w:p w14:paraId="6201FA9E" w14:textId="77777777" w:rsidR="007E48E9" w:rsidRDefault="00000000">
            <w:pPr>
              <w:pStyle w:val="Contedodatabela"/>
              <w:spacing w:after="113"/>
              <w:jc w:val="center"/>
              <w:rPr>
                <w:rFonts w:ascii="Verdana" w:hAnsi="Verdana"/>
                <w:sz w:val="20"/>
                <w:szCs w:val="20"/>
              </w:rPr>
            </w:pPr>
            <w:r>
              <w:rPr>
                <w:rFonts w:ascii="Verdana" w:hAnsi="Verdana"/>
                <w:sz w:val="20"/>
                <w:szCs w:val="20"/>
              </w:rPr>
              <w:t>01</w:t>
            </w:r>
          </w:p>
        </w:tc>
        <w:tc>
          <w:tcPr>
            <w:tcW w:w="1080" w:type="dxa"/>
            <w:tcBorders>
              <w:left w:val="single" w:sz="2" w:space="0" w:color="000000"/>
              <w:bottom w:val="single" w:sz="2" w:space="0" w:color="000000"/>
              <w:right w:val="single" w:sz="2" w:space="0" w:color="000000"/>
            </w:tcBorders>
            <w:vAlign w:val="center"/>
          </w:tcPr>
          <w:p w14:paraId="00F87AF6" w14:textId="77777777" w:rsidR="007E48E9" w:rsidRDefault="00000000">
            <w:pPr>
              <w:pStyle w:val="Contedodatabela"/>
              <w:spacing w:after="113"/>
              <w:jc w:val="center"/>
              <w:rPr>
                <w:rFonts w:ascii="Verdana" w:hAnsi="Verdana"/>
                <w:sz w:val="20"/>
                <w:szCs w:val="20"/>
              </w:rPr>
            </w:pPr>
            <w:r>
              <w:rPr>
                <w:rFonts w:ascii="Verdana" w:hAnsi="Verdana"/>
                <w:sz w:val="20"/>
                <w:szCs w:val="20"/>
              </w:rPr>
              <w:t>Serviço</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5791D0A2" w14:textId="77777777" w:rsidR="007E48E9" w:rsidRDefault="00000000">
            <w:pPr>
              <w:pStyle w:val="Contedodatabela"/>
              <w:spacing w:after="113"/>
              <w:jc w:val="both"/>
              <w:rPr>
                <w:rFonts w:ascii="Verdana" w:hAnsi="Verdana"/>
                <w:color w:val="000000"/>
                <w:sz w:val="20"/>
                <w:szCs w:val="20"/>
              </w:rPr>
            </w:pPr>
            <w:r>
              <w:rPr>
                <w:rFonts w:ascii="Verdana" w:hAnsi="Verdana"/>
                <w:color w:val="000000"/>
                <w:sz w:val="20"/>
                <w:szCs w:val="20"/>
              </w:rPr>
              <w:t>Implantação, instalação, migração, conversão de dados, customização e treinamento do Sistema Integrado de Gestão de Protocolos e Processos</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0FFDC992"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62AA881"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r>
      <w:tr w:rsidR="007E48E9" w14:paraId="5D0AE135" w14:textId="77777777">
        <w:trPr>
          <w:trHeight w:val="124"/>
        </w:trPr>
        <w:tc>
          <w:tcPr>
            <w:tcW w:w="7424" w:type="dxa"/>
            <w:gridSpan w:val="5"/>
            <w:tcBorders>
              <w:left w:val="single" w:sz="2" w:space="0" w:color="000000"/>
              <w:bottom w:val="single" w:sz="2" w:space="0" w:color="000000"/>
            </w:tcBorders>
            <w:vAlign w:val="center"/>
          </w:tcPr>
          <w:p w14:paraId="751C43A5" w14:textId="77777777" w:rsidR="007E48E9" w:rsidRDefault="00000000">
            <w:pPr>
              <w:pStyle w:val="Contedodatabela"/>
              <w:spacing w:after="113"/>
              <w:jc w:val="center"/>
              <w:rPr>
                <w:rFonts w:ascii="Verdana" w:hAnsi="Verdana"/>
                <w:b/>
                <w:bCs/>
                <w:color w:val="000000"/>
                <w:sz w:val="20"/>
                <w:szCs w:val="20"/>
              </w:rPr>
            </w:pPr>
            <w:r>
              <w:rPr>
                <w:rFonts w:ascii="Verdana" w:hAnsi="Verdana"/>
                <w:b/>
                <w:bCs/>
                <w:color w:val="000000"/>
                <w:sz w:val="20"/>
                <w:szCs w:val="20"/>
              </w:rPr>
              <w:t>TOTAL IMPLANTAÇÃO / TREINAMENTO</w:t>
            </w:r>
          </w:p>
        </w:tc>
        <w:tc>
          <w:tcPr>
            <w:tcW w:w="3176"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85C03CE" w14:textId="77777777" w:rsidR="007E48E9" w:rsidRDefault="00000000">
            <w:pPr>
              <w:pStyle w:val="Contedodatabela"/>
              <w:spacing w:after="113"/>
              <w:jc w:val="center"/>
              <w:rPr>
                <w:rFonts w:ascii="Verdana" w:hAnsi="Verdana"/>
                <w:b/>
                <w:bCs/>
                <w:color w:val="000000"/>
                <w:sz w:val="20"/>
                <w:szCs w:val="20"/>
              </w:rPr>
            </w:pPr>
            <w:r>
              <w:rPr>
                <w:rFonts w:ascii="Verdana" w:hAnsi="Verdana"/>
                <w:b/>
                <w:bCs/>
                <w:color w:val="000000"/>
                <w:sz w:val="20"/>
                <w:szCs w:val="20"/>
              </w:rPr>
              <w:t>R$ 7.656,95</w:t>
            </w:r>
          </w:p>
        </w:tc>
      </w:tr>
      <w:tr w:rsidR="007E48E9" w14:paraId="7E141F1E" w14:textId="77777777">
        <w:trPr>
          <w:trHeight w:val="286"/>
        </w:trPr>
        <w:tc>
          <w:tcPr>
            <w:tcW w:w="10600" w:type="dxa"/>
            <w:gridSpan w:val="7"/>
            <w:tcBorders>
              <w:left w:val="single" w:sz="2" w:space="0" w:color="000000"/>
              <w:bottom w:val="single" w:sz="2" w:space="0" w:color="000000"/>
              <w:right w:val="single" w:sz="2" w:space="0" w:color="000000"/>
            </w:tcBorders>
            <w:vAlign w:val="center"/>
          </w:tcPr>
          <w:p w14:paraId="056E9343" w14:textId="77777777" w:rsidR="007E48E9" w:rsidRDefault="007E48E9">
            <w:pPr>
              <w:pStyle w:val="Contedodatabela"/>
              <w:spacing w:after="113"/>
              <w:jc w:val="center"/>
              <w:rPr>
                <w:rFonts w:ascii="Verdana" w:hAnsi="Verdana"/>
                <w:sz w:val="20"/>
                <w:szCs w:val="20"/>
              </w:rPr>
            </w:pPr>
          </w:p>
        </w:tc>
      </w:tr>
      <w:tr w:rsidR="007E48E9" w14:paraId="02DB526F" w14:textId="77777777">
        <w:trPr>
          <w:trHeight w:val="124"/>
        </w:trPr>
        <w:tc>
          <w:tcPr>
            <w:tcW w:w="10600" w:type="dxa"/>
            <w:gridSpan w:val="7"/>
            <w:tcBorders>
              <w:left w:val="single" w:sz="2" w:space="0" w:color="000000"/>
              <w:bottom w:val="single" w:sz="2" w:space="0" w:color="000000"/>
              <w:right w:val="single" w:sz="2" w:space="0" w:color="000000"/>
            </w:tcBorders>
            <w:vAlign w:val="center"/>
          </w:tcPr>
          <w:p w14:paraId="64FAC16D" w14:textId="77777777" w:rsidR="007E48E9" w:rsidRDefault="00000000">
            <w:pPr>
              <w:pStyle w:val="Corpodetexto"/>
              <w:widowControl w:val="0"/>
              <w:spacing w:before="0" w:after="113" w:line="276" w:lineRule="auto"/>
              <w:jc w:val="center"/>
              <w:rPr>
                <w:rFonts w:ascii="Verdana" w:hAnsi="Verdana"/>
                <w:b/>
                <w:bCs/>
                <w:sz w:val="20"/>
                <w:szCs w:val="20"/>
              </w:rPr>
            </w:pPr>
            <w:r>
              <w:rPr>
                <w:rFonts w:ascii="Verdana" w:hAnsi="Verdana"/>
                <w:b/>
                <w:bCs/>
                <w:sz w:val="20"/>
                <w:szCs w:val="20"/>
              </w:rPr>
              <w:t>MÓDULOS / SISTEMAS</w:t>
            </w:r>
          </w:p>
        </w:tc>
      </w:tr>
      <w:tr w:rsidR="007E48E9" w14:paraId="7C13ECC9" w14:textId="77777777">
        <w:tc>
          <w:tcPr>
            <w:tcW w:w="675" w:type="dxa"/>
            <w:tcBorders>
              <w:left w:val="single" w:sz="2" w:space="0" w:color="000000"/>
              <w:bottom w:val="single" w:sz="2" w:space="0" w:color="000000"/>
            </w:tcBorders>
            <w:vAlign w:val="center"/>
          </w:tcPr>
          <w:p w14:paraId="32F62C04"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Item</w:t>
            </w:r>
          </w:p>
        </w:tc>
        <w:tc>
          <w:tcPr>
            <w:tcW w:w="1200" w:type="dxa"/>
            <w:tcBorders>
              <w:left w:val="single" w:sz="2" w:space="0" w:color="000000"/>
              <w:bottom w:val="single" w:sz="2" w:space="0" w:color="000000"/>
            </w:tcBorders>
            <w:vAlign w:val="center"/>
          </w:tcPr>
          <w:p w14:paraId="29035812"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Fonte Pesquisa</w:t>
            </w:r>
          </w:p>
        </w:tc>
        <w:tc>
          <w:tcPr>
            <w:tcW w:w="1079" w:type="dxa"/>
            <w:tcBorders>
              <w:left w:val="single" w:sz="2" w:space="0" w:color="000000"/>
              <w:bottom w:val="single" w:sz="2" w:space="0" w:color="000000"/>
            </w:tcBorders>
            <w:vAlign w:val="center"/>
          </w:tcPr>
          <w:p w14:paraId="00566104"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Quant. Máxima Prevista</w:t>
            </w:r>
          </w:p>
        </w:tc>
        <w:tc>
          <w:tcPr>
            <w:tcW w:w="1080" w:type="dxa"/>
            <w:tcBorders>
              <w:left w:val="single" w:sz="2" w:space="0" w:color="000000"/>
              <w:bottom w:val="single" w:sz="2" w:space="0" w:color="000000"/>
              <w:right w:val="single" w:sz="2" w:space="0" w:color="000000"/>
            </w:tcBorders>
            <w:vAlign w:val="center"/>
          </w:tcPr>
          <w:p w14:paraId="0CD48BF5" w14:textId="77777777" w:rsidR="007E48E9" w:rsidRDefault="00000000">
            <w:pPr>
              <w:pStyle w:val="Contedodatabela"/>
              <w:spacing w:after="113"/>
              <w:jc w:val="center"/>
              <w:rPr>
                <w:rFonts w:ascii="Verdana" w:hAnsi="Verdana"/>
                <w:b/>
                <w:bCs/>
                <w:sz w:val="20"/>
                <w:szCs w:val="20"/>
              </w:rPr>
            </w:pPr>
            <w:r>
              <w:rPr>
                <w:rFonts w:ascii="Verdana" w:hAnsi="Verdana"/>
                <w:b/>
                <w:bCs/>
                <w:sz w:val="20"/>
                <w:szCs w:val="20"/>
              </w:rPr>
              <w:t>Unid.</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5109DDA4" w14:textId="77777777" w:rsidR="007E48E9" w:rsidRDefault="00000000">
            <w:pPr>
              <w:pStyle w:val="Contedodatabela"/>
              <w:spacing w:after="113"/>
              <w:jc w:val="center"/>
              <w:rPr>
                <w:rFonts w:ascii="Verdana" w:hAnsi="Verdana"/>
                <w:b/>
                <w:bCs/>
                <w:sz w:val="20"/>
                <w:szCs w:val="20"/>
              </w:rPr>
            </w:pPr>
            <w:r>
              <w:rPr>
                <w:rFonts w:ascii="Verdana" w:hAnsi="Verdana"/>
                <w:b/>
                <w:bCs/>
                <w:sz w:val="20"/>
                <w:szCs w:val="20"/>
              </w:rPr>
              <w:t>Descrição</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0288C82B"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Valor Unitário Estimado</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473DDE1"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Valor Total Estimado</w:t>
            </w:r>
          </w:p>
        </w:tc>
      </w:tr>
      <w:tr w:rsidR="007E48E9" w14:paraId="44629BC4" w14:textId="77777777">
        <w:tc>
          <w:tcPr>
            <w:tcW w:w="675" w:type="dxa"/>
            <w:tcBorders>
              <w:left w:val="single" w:sz="2" w:space="0" w:color="000000"/>
              <w:bottom w:val="single" w:sz="2" w:space="0" w:color="000000"/>
            </w:tcBorders>
            <w:vAlign w:val="center"/>
          </w:tcPr>
          <w:p w14:paraId="236FC904"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01</w:t>
            </w:r>
          </w:p>
        </w:tc>
        <w:tc>
          <w:tcPr>
            <w:tcW w:w="1200" w:type="dxa"/>
            <w:vMerge w:val="restart"/>
            <w:tcBorders>
              <w:left w:val="single" w:sz="2" w:space="0" w:color="000000"/>
              <w:bottom w:val="single" w:sz="2" w:space="0" w:color="000000"/>
            </w:tcBorders>
            <w:vAlign w:val="center"/>
          </w:tcPr>
          <w:p w14:paraId="127F6ACF"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PNCP</w:t>
            </w:r>
          </w:p>
        </w:tc>
        <w:tc>
          <w:tcPr>
            <w:tcW w:w="1079" w:type="dxa"/>
            <w:tcBorders>
              <w:left w:val="single" w:sz="2" w:space="0" w:color="000000"/>
              <w:bottom w:val="single" w:sz="2" w:space="0" w:color="000000"/>
            </w:tcBorders>
            <w:vAlign w:val="center"/>
          </w:tcPr>
          <w:p w14:paraId="3D313E32"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12</w:t>
            </w:r>
          </w:p>
        </w:tc>
        <w:tc>
          <w:tcPr>
            <w:tcW w:w="1080" w:type="dxa"/>
            <w:tcBorders>
              <w:left w:val="single" w:sz="2" w:space="0" w:color="000000"/>
              <w:bottom w:val="single" w:sz="2" w:space="0" w:color="000000"/>
              <w:right w:val="single" w:sz="2" w:space="0" w:color="000000"/>
            </w:tcBorders>
            <w:vAlign w:val="center"/>
          </w:tcPr>
          <w:p w14:paraId="252BEA71" w14:textId="77777777" w:rsidR="007E48E9" w:rsidRDefault="00000000">
            <w:pPr>
              <w:pStyle w:val="Contedodatabela"/>
              <w:spacing w:after="113"/>
              <w:jc w:val="center"/>
              <w:rPr>
                <w:rFonts w:ascii="Verdana" w:hAnsi="Verdana"/>
                <w:sz w:val="20"/>
                <w:szCs w:val="20"/>
              </w:rPr>
            </w:pPr>
            <w:r>
              <w:rPr>
                <w:rFonts w:ascii="Verdana" w:hAnsi="Verdana"/>
                <w:sz w:val="20"/>
                <w:szCs w:val="20"/>
              </w:rPr>
              <w:t>Mês</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20CDC892" w14:textId="77777777" w:rsidR="007E48E9" w:rsidRDefault="00000000">
            <w:pPr>
              <w:pStyle w:val="Contedodatabela"/>
              <w:spacing w:after="113" w:line="276" w:lineRule="auto"/>
              <w:jc w:val="both"/>
              <w:rPr>
                <w:rFonts w:ascii="Verdana" w:hAnsi="Verdana"/>
                <w:sz w:val="20"/>
                <w:szCs w:val="20"/>
              </w:rPr>
            </w:pPr>
            <w:r>
              <w:rPr>
                <w:rFonts w:ascii="Verdana" w:hAnsi="Verdana"/>
                <w:sz w:val="20"/>
                <w:szCs w:val="20"/>
              </w:rPr>
              <w:t>Licença de uso, suporte e manutenção do Sistema Integrado de Compras, Licitações e Contratos</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11944283"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R$ 545,67</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7FC85B46"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R$ 6.548,04</w:t>
            </w:r>
          </w:p>
        </w:tc>
      </w:tr>
      <w:tr w:rsidR="007E48E9" w14:paraId="0BA6303B" w14:textId="77777777">
        <w:tc>
          <w:tcPr>
            <w:tcW w:w="675" w:type="dxa"/>
            <w:tcBorders>
              <w:left w:val="single" w:sz="2" w:space="0" w:color="000000"/>
              <w:bottom w:val="single" w:sz="2" w:space="0" w:color="000000"/>
            </w:tcBorders>
            <w:vAlign w:val="center"/>
          </w:tcPr>
          <w:p w14:paraId="15FE9A7A"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02</w:t>
            </w:r>
          </w:p>
        </w:tc>
        <w:tc>
          <w:tcPr>
            <w:tcW w:w="1200" w:type="dxa"/>
            <w:vMerge/>
            <w:tcBorders>
              <w:left w:val="single" w:sz="2" w:space="0" w:color="000000"/>
              <w:bottom w:val="single" w:sz="2" w:space="0" w:color="000000"/>
            </w:tcBorders>
            <w:vAlign w:val="center"/>
          </w:tcPr>
          <w:p w14:paraId="6378FFDA" w14:textId="77777777" w:rsidR="007E48E9" w:rsidRDefault="007E48E9">
            <w:pPr>
              <w:rPr>
                <w:rFonts w:ascii="Verdana" w:hAnsi="Verdana"/>
                <w:sz w:val="20"/>
                <w:szCs w:val="20"/>
              </w:rPr>
            </w:pPr>
          </w:p>
        </w:tc>
        <w:tc>
          <w:tcPr>
            <w:tcW w:w="1079" w:type="dxa"/>
            <w:tcBorders>
              <w:left w:val="single" w:sz="2" w:space="0" w:color="000000"/>
              <w:bottom w:val="single" w:sz="2" w:space="0" w:color="000000"/>
            </w:tcBorders>
            <w:vAlign w:val="center"/>
          </w:tcPr>
          <w:p w14:paraId="33FC3D9D"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12</w:t>
            </w:r>
          </w:p>
        </w:tc>
        <w:tc>
          <w:tcPr>
            <w:tcW w:w="1080" w:type="dxa"/>
            <w:tcBorders>
              <w:left w:val="single" w:sz="2" w:space="0" w:color="000000"/>
              <w:bottom w:val="single" w:sz="2" w:space="0" w:color="000000"/>
              <w:right w:val="single" w:sz="2" w:space="0" w:color="000000"/>
            </w:tcBorders>
            <w:vAlign w:val="center"/>
          </w:tcPr>
          <w:p w14:paraId="6ED48DB1" w14:textId="77777777" w:rsidR="007E48E9" w:rsidRDefault="00000000">
            <w:pPr>
              <w:pStyle w:val="Contedodatabela"/>
              <w:spacing w:after="113"/>
              <w:jc w:val="center"/>
              <w:rPr>
                <w:rFonts w:ascii="Verdana" w:hAnsi="Verdana"/>
                <w:sz w:val="20"/>
                <w:szCs w:val="20"/>
              </w:rPr>
            </w:pPr>
            <w:r>
              <w:rPr>
                <w:rFonts w:ascii="Verdana" w:hAnsi="Verdana"/>
                <w:sz w:val="20"/>
                <w:szCs w:val="20"/>
              </w:rPr>
              <w:t>Mês</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6B4CC173" w14:textId="77777777" w:rsidR="007E48E9" w:rsidRDefault="00000000">
            <w:pPr>
              <w:pStyle w:val="Corpodetexto"/>
              <w:widowControl w:val="0"/>
              <w:spacing w:before="0" w:after="113"/>
              <w:jc w:val="both"/>
              <w:rPr>
                <w:rFonts w:ascii="Verdana" w:hAnsi="Verdana"/>
                <w:color w:val="000000"/>
                <w:sz w:val="20"/>
                <w:szCs w:val="20"/>
              </w:rPr>
            </w:pPr>
            <w:r>
              <w:rPr>
                <w:rFonts w:ascii="Verdana" w:hAnsi="Verdana"/>
                <w:color w:val="000000"/>
                <w:sz w:val="20"/>
                <w:szCs w:val="20"/>
              </w:rPr>
              <w:t>Licença de uso, suporte e manutenção do Sistema Integrado de Almoxarifado</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7AA6463F" w14:textId="77777777" w:rsidR="007E48E9" w:rsidRDefault="00000000">
            <w:pPr>
              <w:pStyle w:val="Corpodetexto"/>
              <w:widowControl w:val="0"/>
              <w:spacing w:before="0" w:after="113"/>
              <w:jc w:val="center"/>
              <w:rPr>
                <w:rFonts w:ascii="Verdana" w:hAnsi="Verdana"/>
                <w:color w:val="000000"/>
                <w:sz w:val="20"/>
                <w:szCs w:val="20"/>
              </w:rPr>
            </w:pPr>
            <w:r>
              <w:rPr>
                <w:rFonts w:ascii="Verdana" w:hAnsi="Verdana"/>
                <w:color w:val="000000"/>
                <w:sz w:val="20"/>
                <w:szCs w:val="20"/>
              </w:rPr>
              <w:t>R$ 477,16</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7E1C743" w14:textId="77777777" w:rsidR="007E48E9" w:rsidRDefault="00000000">
            <w:pPr>
              <w:pStyle w:val="Corpodetexto"/>
              <w:widowControl w:val="0"/>
              <w:spacing w:before="0" w:after="113"/>
              <w:jc w:val="center"/>
              <w:rPr>
                <w:rFonts w:ascii="Verdana" w:hAnsi="Verdana"/>
                <w:color w:val="000000"/>
                <w:sz w:val="20"/>
                <w:szCs w:val="20"/>
              </w:rPr>
            </w:pPr>
            <w:r>
              <w:rPr>
                <w:rFonts w:ascii="Verdana" w:hAnsi="Verdana"/>
                <w:color w:val="000000"/>
                <w:sz w:val="20"/>
                <w:szCs w:val="20"/>
              </w:rPr>
              <w:t>R$ 5.725,92</w:t>
            </w:r>
          </w:p>
        </w:tc>
      </w:tr>
      <w:tr w:rsidR="007E48E9" w14:paraId="3D9088FB" w14:textId="77777777">
        <w:tc>
          <w:tcPr>
            <w:tcW w:w="675" w:type="dxa"/>
            <w:tcBorders>
              <w:left w:val="single" w:sz="2" w:space="0" w:color="000000"/>
              <w:bottom w:val="single" w:sz="2" w:space="0" w:color="000000"/>
            </w:tcBorders>
            <w:vAlign w:val="center"/>
          </w:tcPr>
          <w:p w14:paraId="01950794"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lastRenderedPageBreak/>
              <w:t>03</w:t>
            </w:r>
          </w:p>
        </w:tc>
        <w:tc>
          <w:tcPr>
            <w:tcW w:w="1200" w:type="dxa"/>
            <w:vMerge/>
            <w:tcBorders>
              <w:left w:val="single" w:sz="2" w:space="0" w:color="000000"/>
              <w:bottom w:val="single" w:sz="2" w:space="0" w:color="000000"/>
            </w:tcBorders>
            <w:vAlign w:val="center"/>
          </w:tcPr>
          <w:p w14:paraId="4D505876" w14:textId="77777777" w:rsidR="007E48E9" w:rsidRDefault="007E48E9">
            <w:pPr>
              <w:rPr>
                <w:rFonts w:ascii="Verdana" w:hAnsi="Verdana"/>
                <w:sz w:val="20"/>
                <w:szCs w:val="20"/>
              </w:rPr>
            </w:pPr>
          </w:p>
        </w:tc>
        <w:tc>
          <w:tcPr>
            <w:tcW w:w="1079" w:type="dxa"/>
            <w:tcBorders>
              <w:left w:val="single" w:sz="2" w:space="0" w:color="000000"/>
              <w:bottom w:val="single" w:sz="2" w:space="0" w:color="000000"/>
            </w:tcBorders>
            <w:vAlign w:val="center"/>
          </w:tcPr>
          <w:p w14:paraId="1E5E7A57"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12</w:t>
            </w:r>
          </w:p>
        </w:tc>
        <w:tc>
          <w:tcPr>
            <w:tcW w:w="1080" w:type="dxa"/>
            <w:tcBorders>
              <w:left w:val="single" w:sz="2" w:space="0" w:color="000000"/>
              <w:bottom w:val="single" w:sz="2" w:space="0" w:color="000000"/>
              <w:right w:val="single" w:sz="2" w:space="0" w:color="000000"/>
            </w:tcBorders>
            <w:vAlign w:val="center"/>
          </w:tcPr>
          <w:p w14:paraId="298827E2" w14:textId="77777777" w:rsidR="007E48E9" w:rsidRDefault="00000000">
            <w:pPr>
              <w:pStyle w:val="Contedodatabela"/>
              <w:spacing w:after="113"/>
              <w:jc w:val="center"/>
              <w:rPr>
                <w:rFonts w:ascii="Verdana" w:hAnsi="Verdana"/>
                <w:sz w:val="20"/>
                <w:szCs w:val="20"/>
              </w:rPr>
            </w:pPr>
            <w:r>
              <w:rPr>
                <w:rFonts w:ascii="Verdana" w:hAnsi="Verdana"/>
                <w:sz w:val="20"/>
                <w:szCs w:val="20"/>
              </w:rPr>
              <w:t>Mês</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676EDF7E" w14:textId="77777777" w:rsidR="007E48E9" w:rsidRDefault="00000000">
            <w:pPr>
              <w:pStyle w:val="Corpodetexto"/>
              <w:widowControl w:val="0"/>
              <w:spacing w:before="0" w:after="113"/>
              <w:jc w:val="both"/>
              <w:rPr>
                <w:rFonts w:ascii="Verdana" w:hAnsi="Verdana"/>
                <w:color w:val="000000"/>
                <w:sz w:val="20"/>
                <w:szCs w:val="20"/>
              </w:rPr>
            </w:pPr>
            <w:r>
              <w:rPr>
                <w:rFonts w:ascii="Verdana" w:hAnsi="Verdana"/>
                <w:color w:val="000000"/>
                <w:sz w:val="20"/>
                <w:szCs w:val="20"/>
              </w:rPr>
              <w:t>Licença de uso, suporte e manutenção do Sistema Integrado de Controle de Bens Patrimoniais</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2380CF2C" w14:textId="77777777" w:rsidR="007E48E9" w:rsidRDefault="00000000">
            <w:pPr>
              <w:pStyle w:val="Corpodetexto"/>
              <w:widowControl w:val="0"/>
              <w:spacing w:before="0" w:after="113"/>
              <w:jc w:val="center"/>
              <w:rPr>
                <w:rFonts w:ascii="Verdana" w:hAnsi="Verdana"/>
                <w:color w:val="000000"/>
                <w:sz w:val="20"/>
                <w:szCs w:val="20"/>
              </w:rPr>
            </w:pPr>
            <w:r>
              <w:rPr>
                <w:rFonts w:ascii="Verdana" w:hAnsi="Verdana"/>
                <w:color w:val="000000"/>
                <w:sz w:val="20"/>
                <w:szCs w:val="20"/>
              </w:rPr>
              <w:t>R$ 587,44</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F98A221" w14:textId="77777777" w:rsidR="007E48E9" w:rsidRDefault="00000000">
            <w:pPr>
              <w:pStyle w:val="Corpodetexto"/>
              <w:widowControl w:val="0"/>
              <w:spacing w:before="0" w:after="113"/>
              <w:jc w:val="center"/>
              <w:rPr>
                <w:rFonts w:ascii="Verdana" w:hAnsi="Verdana"/>
                <w:color w:val="000000"/>
                <w:sz w:val="20"/>
                <w:szCs w:val="20"/>
              </w:rPr>
            </w:pPr>
            <w:r>
              <w:rPr>
                <w:rFonts w:ascii="Verdana" w:hAnsi="Verdana"/>
                <w:color w:val="000000"/>
                <w:sz w:val="20"/>
                <w:szCs w:val="20"/>
              </w:rPr>
              <w:t>R$ 7.049,28</w:t>
            </w:r>
          </w:p>
        </w:tc>
      </w:tr>
      <w:tr w:rsidR="007E48E9" w14:paraId="678D2DF5" w14:textId="77777777">
        <w:tc>
          <w:tcPr>
            <w:tcW w:w="675" w:type="dxa"/>
            <w:tcBorders>
              <w:left w:val="single" w:sz="2" w:space="0" w:color="000000"/>
              <w:bottom w:val="single" w:sz="2" w:space="0" w:color="000000"/>
            </w:tcBorders>
            <w:vAlign w:val="center"/>
          </w:tcPr>
          <w:p w14:paraId="6CE3D97A"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04</w:t>
            </w:r>
          </w:p>
        </w:tc>
        <w:tc>
          <w:tcPr>
            <w:tcW w:w="1200" w:type="dxa"/>
            <w:vMerge/>
            <w:tcBorders>
              <w:left w:val="single" w:sz="2" w:space="0" w:color="000000"/>
              <w:bottom w:val="single" w:sz="2" w:space="0" w:color="000000"/>
            </w:tcBorders>
            <w:vAlign w:val="center"/>
          </w:tcPr>
          <w:p w14:paraId="7C1B046B" w14:textId="77777777" w:rsidR="007E48E9" w:rsidRDefault="007E48E9">
            <w:pPr>
              <w:rPr>
                <w:rFonts w:ascii="Verdana" w:hAnsi="Verdana"/>
                <w:sz w:val="20"/>
                <w:szCs w:val="20"/>
              </w:rPr>
            </w:pPr>
          </w:p>
        </w:tc>
        <w:tc>
          <w:tcPr>
            <w:tcW w:w="1079" w:type="dxa"/>
            <w:tcBorders>
              <w:left w:val="single" w:sz="2" w:space="0" w:color="000000"/>
              <w:bottom w:val="single" w:sz="2" w:space="0" w:color="000000"/>
            </w:tcBorders>
            <w:vAlign w:val="center"/>
          </w:tcPr>
          <w:p w14:paraId="33857AAD"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12</w:t>
            </w:r>
          </w:p>
        </w:tc>
        <w:tc>
          <w:tcPr>
            <w:tcW w:w="1080" w:type="dxa"/>
            <w:tcBorders>
              <w:left w:val="single" w:sz="2" w:space="0" w:color="000000"/>
              <w:bottom w:val="single" w:sz="2" w:space="0" w:color="000000"/>
              <w:right w:val="single" w:sz="2" w:space="0" w:color="000000"/>
            </w:tcBorders>
            <w:vAlign w:val="center"/>
          </w:tcPr>
          <w:p w14:paraId="22C017CA" w14:textId="77777777" w:rsidR="007E48E9" w:rsidRDefault="00000000">
            <w:pPr>
              <w:pStyle w:val="Contedodatabela"/>
              <w:spacing w:after="113"/>
              <w:jc w:val="center"/>
              <w:rPr>
                <w:rFonts w:ascii="Verdana" w:hAnsi="Verdana"/>
                <w:sz w:val="20"/>
                <w:szCs w:val="20"/>
              </w:rPr>
            </w:pPr>
            <w:r>
              <w:rPr>
                <w:rFonts w:ascii="Verdana" w:hAnsi="Verdana"/>
                <w:sz w:val="20"/>
                <w:szCs w:val="20"/>
              </w:rPr>
              <w:t>Mês</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3E5D6B29" w14:textId="77777777" w:rsidR="007E48E9" w:rsidRDefault="00000000">
            <w:pPr>
              <w:pStyle w:val="Corpodetexto"/>
              <w:widowControl w:val="0"/>
              <w:spacing w:before="0" w:after="113"/>
              <w:jc w:val="both"/>
              <w:rPr>
                <w:rFonts w:ascii="Verdana" w:hAnsi="Verdana"/>
                <w:color w:val="000000"/>
                <w:sz w:val="20"/>
                <w:szCs w:val="20"/>
              </w:rPr>
            </w:pPr>
            <w:r>
              <w:rPr>
                <w:rFonts w:ascii="Verdana" w:hAnsi="Verdana"/>
                <w:color w:val="000000"/>
                <w:sz w:val="20"/>
                <w:szCs w:val="20"/>
              </w:rPr>
              <w:t>Licença de uso, suporte e manutenção do Sistema Integrado de Serviços Portal da Transparência</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20E4E860"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R$ 449,04</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8B3749C"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R$ 5.388,48</w:t>
            </w:r>
          </w:p>
        </w:tc>
      </w:tr>
      <w:tr w:rsidR="007E48E9" w14:paraId="66636005" w14:textId="77777777">
        <w:tc>
          <w:tcPr>
            <w:tcW w:w="675" w:type="dxa"/>
            <w:tcBorders>
              <w:left w:val="single" w:sz="2" w:space="0" w:color="000000"/>
              <w:bottom w:val="single" w:sz="2" w:space="0" w:color="000000"/>
            </w:tcBorders>
            <w:vAlign w:val="center"/>
          </w:tcPr>
          <w:p w14:paraId="2E28ED11"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05</w:t>
            </w:r>
          </w:p>
        </w:tc>
        <w:tc>
          <w:tcPr>
            <w:tcW w:w="1200" w:type="dxa"/>
            <w:vMerge/>
            <w:tcBorders>
              <w:left w:val="single" w:sz="2" w:space="0" w:color="000000"/>
              <w:bottom w:val="single" w:sz="2" w:space="0" w:color="000000"/>
            </w:tcBorders>
            <w:vAlign w:val="center"/>
          </w:tcPr>
          <w:p w14:paraId="731B6F94" w14:textId="77777777" w:rsidR="007E48E9" w:rsidRDefault="007E48E9">
            <w:pPr>
              <w:rPr>
                <w:rFonts w:ascii="Verdana" w:hAnsi="Verdana"/>
                <w:sz w:val="20"/>
                <w:szCs w:val="20"/>
              </w:rPr>
            </w:pPr>
          </w:p>
        </w:tc>
        <w:tc>
          <w:tcPr>
            <w:tcW w:w="1079" w:type="dxa"/>
            <w:tcBorders>
              <w:left w:val="single" w:sz="2" w:space="0" w:color="000000"/>
              <w:bottom w:val="single" w:sz="2" w:space="0" w:color="000000"/>
            </w:tcBorders>
            <w:vAlign w:val="center"/>
          </w:tcPr>
          <w:p w14:paraId="7E9468C3" w14:textId="77777777" w:rsidR="007E48E9" w:rsidRDefault="00000000">
            <w:pPr>
              <w:pStyle w:val="Contedodatabela"/>
              <w:spacing w:after="113"/>
              <w:jc w:val="center"/>
              <w:rPr>
                <w:rFonts w:ascii="Verdana" w:hAnsi="Verdana"/>
                <w:sz w:val="20"/>
                <w:szCs w:val="20"/>
              </w:rPr>
            </w:pPr>
            <w:r>
              <w:rPr>
                <w:rFonts w:ascii="Verdana" w:hAnsi="Verdana"/>
                <w:sz w:val="20"/>
                <w:szCs w:val="20"/>
              </w:rPr>
              <w:t>12</w:t>
            </w:r>
          </w:p>
        </w:tc>
        <w:tc>
          <w:tcPr>
            <w:tcW w:w="1080" w:type="dxa"/>
            <w:tcBorders>
              <w:left w:val="single" w:sz="2" w:space="0" w:color="000000"/>
              <w:bottom w:val="single" w:sz="2" w:space="0" w:color="000000"/>
              <w:right w:val="single" w:sz="2" w:space="0" w:color="000000"/>
            </w:tcBorders>
            <w:vAlign w:val="center"/>
          </w:tcPr>
          <w:p w14:paraId="1E84058A" w14:textId="77777777" w:rsidR="007E48E9" w:rsidRDefault="00000000">
            <w:pPr>
              <w:pStyle w:val="Contedodatabela"/>
              <w:spacing w:after="113"/>
              <w:jc w:val="center"/>
              <w:rPr>
                <w:rFonts w:ascii="Verdana" w:hAnsi="Verdana"/>
                <w:sz w:val="20"/>
                <w:szCs w:val="20"/>
              </w:rPr>
            </w:pPr>
            <w:r>
              <w:rPr>
                <w:rFonts w:ascii="Verdana" w:hAnsi="Verdana"/>
                <w:sz w:val="20"/>
                <w:szCs w:val="20"/>
              </w:rPr>
              <w:t>Mês</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49D54CFC" w14:textId="77777777" w:rsidR="007E48E9" w:rsidRDefault="00000000">
            <w:pPr>
              <w:pStyle w:val="Corpodetexto"/>
              <w:widowControl w:val="0"/>
              <w:spacing w:before="0" w:after="113"/>
              <w:jc w:val="both"/>
              <w:rPr>
                <w:rFonts w:ascii="Verdana" w:hAnsi="Verdana"/>
                <w:color w:val="000000"/>
                <w:sz w:val="20"/>
                <w:szCs w:val="20"/>
              </w:rPr>
            </w:pPr>
            <w:r>
              <w:rPr>
                <w:rFonts w:ascii="Verdana" w:hAnsi="Verdana"/>
                <w:color w:val="000000"/>
                <w:sz w:val="20"/>
                <w:szCs w:val="20"/>
              </w:rPr>
              <w:t>Licença de uso, suporte e manutenção do Sistema Integrado de Gestão de Protocolos e Processos</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16F72ED3"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R$ 677,27</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3CC0EE0"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R$ 8.127,24</w:t>
            </w:r>
          </w:p>
        </w:tc>
      </w:tr>
      <w:tr w:rsidR="007E48E9" w14:paraId="32993D23" w14:textId="77777777">
        <w:tc>
          <w:tcPr>
            <w:tcW w:w="7424" w:type="dxa"/>
            <w:gridSpan w:val="5"/>
            <w:tcBorders>
              <w:left w:val="single" w:sz="2" w:space="0" w:color="000000"/>
              <w:bottom w:val="single" w:sz="2" w:space="0" w:color="000000"/>
            </w:tcBorders>
            <w:vAlign w:val="center"/>
          </w:tcPr>
          <w:p w14:paraId="0D6785F2" w14:textId="77777777" w:rsidR="007E48E9" w:rsidRDefault="00000000">
            <w:pPr>
              <w:pStyle w:val="Corpodetexto"/>
              <w:widowControl w:val="0"/>
              <w:spacing w:before="0" w:after="113" w:line="276" w:lineRule="auto"/>
              <w:jc w:val="center"/>
              <w:rPr>
                <w:rFonts w:ascii="Verdana" w:hAnsi="Verdana"/>
                <w:b/>
                <w:bCs/>
                <w:sz w:val="20"/>
                <w:szCs w:val="20"/>
              </w:rPr>
            </w:pPr>
            <w:r>
              <w:rPr>
                <w:rFonts w:ascii="Verdana" w:hAnsi="Verdana"/>
                <w:b/>
                <w:bCs/>
                <w:sz w:val="20"/>
                <w:szCs w:val="20"/>
              </w:rPr>
              <w:t>TOTAL MÓDULOS / SISTEMAS</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578A5E7E" w14:textId="77777777" w:rsidR="007E48E9" w:rsidRDefault="00000000">
            <w:pPr>
              <w:pStyle w:val="Corpodetexto"/>
              <w:widowControl w:val="0"/>
              <w:spacing w:before="0" w:after="113"/>
              <w:jc w:val="center"/>
              <w:rPr>
                <w:rFonts w:ascii="Verdana" w:hAnsi="Verdana"/>
                <w:b/>
                <w:bCs/>
                <w:color w:val="000000"/>
                <w:sz w:val="20"/>
                <w:szCs w:val="20"/>
              </w:rPr>
            </w:pPr>
            <w:r>
              <w:rPr>
                <w:rFonts w:ascii="Verdana" w:hAnsi="Verdana"/>
                <w:b/>
                <w:bCs/>
                <w:color w:val="000000"/>
                <w:sz w:val="20"/>
                <w:szCs w:val="20"/>
              </w:rPr>
              <w:t>R$ 2.736,58</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7257EFD9" w14:textId="77777777" w:rsidR="007E48E9" w:rsidRDefault="00000000">
            <w:pPr>
              <w:pStyle w:val="Corpodetexto"/>
              <w:widowControl w:val="0"/>
              <w:spacing w:before="0" w:after="113"/>
              <w:jc w:val="center"/>
              <w:rPr>
                <w:rFonts w:ascii="Verdana" w:hAnsi="Verdana"/>
                <w:b/>
                <w:bCs/>
                <w:color w:val="000000"/>
                <w:sz w:val="20"/>
                <w:szCs w:val="20"/>
              </w:rPr>
            </w:pPr>
            <w:r>
              <w:rPr>
                <w:rFonts w:ascii="Verdana" w:hAnsi="Verdana"/>
                <w:b/>
                <w:bCs/>
                <w:color w:val="000000"/>
                <w:sz w:val="20"/>
                <w:szCs w:val="20"/>
              </w:rPr>
              <w:t>R$ 32.838,96</w:t>
            </w:r>
          </w:p>
        </w:tc>
      </w:tr>
      <w:tr w:rsidR="007E48E9" w14:paraId="7D31D230" w14:textId="77777777">
        <w:tc>
          <w:tcPr>
            <w:tcW w:w="10600" w:type="dxa"/>
            <w:gridSpan w:val="7"/>
            <w:tcBorders>
              <w:left w:val="single" w:sz="2" w:space="0" w:color="000000"/>
              <w:bottom w:val="single" w:sz="2" w:space="0" w:color="000000"/>
              <w:right w:val="single" w:sz="2" w:space="0" w:color="000000"/>
            </w:tcBorders>
            <w:vAlign w:val="center"/>
          </w:tcPr>
          <w:p w14:paraId="3BCB315F" w14:textId="77777777" w:rsidR="007E48E9" w:rsidRDefault="00000000">
            <w:pPr>
              <w:pStyle w:val="Corpodetexto"/>
              <w:widowControl w:val="0"/>
              <w:spacing w:before="0" w:after="113"/>
              <w:jc w:val="center"/>
              <w:rPr>
                <w:rFonts w:ascii="Verdana" w:hAnsi="Verdana"/>
                <w:b/>
                <w:color w:val="000000"/>
                <w:sz w:val="20"/>
                <w:szCs w:val="20"/>
              </w:rPr>
            </w:pPr>
            <w:r>
              <w:rPr>
                <w:rFonts w:ascii="Verdana" w:hAnsi="Verdana"/>
                <w:b/>
                <w:color w:val="000000"/>
                <w:sz w:val="20"/>
                <w:szCs w:val="20"/>
              </w:rPr>
              <w:t>AMBIENTE TECNOLÓGICO</w:t>
            </w:r>
          </w:p>
        </w:tc>
      </w:tr>
      <w:tr w:rsidR="007E48E9" w14:paraId="19336D26" w14:textId="77777777">
        <w:tc>
          <w:tcPr>
            <w:tcW w:w="675" w:type="dxa"/>
            <w:tcBorders>
              <w:left w:val="single" w:sz="2" w:space="0" w:color="000000"/>
              <w:bottom w:val="single" w:sz="2" w:space="0" w:color="000000"/>
            </w:tcBorders>
            <w:vAlign w:val="center"/>
          </w:tcPr>
          <w:p w14:paraId="7B5982FB"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Item</w:t>
            </w:r>
          </w:p>
        </w:tc>
        <w:tc>
          <w:tcPr>
            <w:tcW w:w="1200" w:type="dxa"/>
            <w:tcBorders>
              <w:left w:val="single" w:sz="2" w:space="0" w:color="000000"/>
              <w:bottom w:val="single" w:sz="2" w:space="0" w:color="000000"/>
            </w:tcBorders>
            <w:vAlign w:val="center"/>
          </w:tcPr>
          <w:p w14:paraId="3402C7A7"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Fonte Pesquisa</w:t>
            </w:r>
          </w:p>
        </w:tc>
        <w:tc>
          <w:tcPr>
            <w:tcW w:w="1079" w:type="dxa"/>
            <w:tcBorders>
              <w:left w:val="single" w:sz="2" w:space="0" w:color="000000"/>
              <w:bottom w:val="single" w:sz="2" w:space="0" w:color="000000"/>
            </w:tcBorders>
            <w:vAlign w:val="center"/>
          </w:tcPr>
          <w:p w14:paraId="69B21DDE"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Quant. Máxima Prevista</w:t>
            </w:r>
          </w:p>
        </w:tc>
        <w:tc>
          <w:tcPr>
            <w:tcW w:w="1080" w:type="dxa"/>
            <w:tcBorders>
              <w:left w:val="single" w:sz="2" w:space="0" w:color="000000"/>
              <w:bottom w:val="single" w:sz="2" w:space="0" w:color="000000"/>
              <w:right w:val="single" w:sz="2" w:space="0" w:color="000000"/>
            </w:tcBorders>
            <w:vAlign w:val="center"/>
          </w:tcPr>
          <w:p w14:paraId="7130C36F" w14:textId="77777777" w:rsidR="007E48E9" w:rsidRDefault="00000000">
            <w:pPr>
              <w:pStyle w:val="Contedodatabela"/>
              <w:spacing w:after="113"/>
              <w:jc w:val="center"/>
              <w:rPr>
                <w:rFonts w:ascii="Verdana" w:hAnsi="Verdana"/>
                <w:b/>
                <w:bCs/>
                <w:sz w:val="20"/>
                <w:szCs w:val="20"/>
              </w:rPr>
            </w:pPr>
            <w:r>
              <w:rPr>
                <w:rFonts w:ascii="Verdana" w:hAnsi="Verdana"/>
                <w:b/>
                <w:bCs/>
                <w:sz w:val="20"/>
                <w:szCs w:val="20"/>
              </w:rPr>
              <w:t>Unid.</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76C667D7" w14:textId="77777777" w:rsidR="007E48E9" w:rsidRDefault="00000000">
            <w:pPr>
              <w:pStyle w:val="Contedodatabela"/>
              <w:spacing w:after="113"/>
              <w:jc w:val="center"/>
              <w:rPr>
                <w:rFonts w:ascii="Verdana" w:hAnsi="Verdana"/>
                <w:b/>
                <w:bCs/>
                <w:sz w:val="20"/>
                <w:szCs w:val="20"/>
              </w:rPr>
            </w:pPr>
            <w:r>
              <w:rPr>
                <w:rFonts w:ascii="Verdana" w:hAnsi="Verdana"/>
                <w:b/>
                <w:bCs/>
                <w:sz w:val="20"/>
                <w:szCs w:val="20"/>
              </w:rPr>
              <w:t>Descrição</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348AA050"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Valor Unitário Estimado</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4534E49E"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Valor Total Estimado</w:t>
            </w:r>
          </w:p>
        </w:tc>
      </w:tr>
      <w:tr w:rsidR="007E48E9" w14:paraId="764232EE" w14:textId="77777777">
        <w:tc>
          <w:tcPr>
            <w:tcW w:w="675" w:type="dxa"/>
            <w:tcBorders>
              <w:left w:val="single" w:sz="2" w:space="0" w:color="000000"/>
              <w:bottom w:val="single" w:sz="2" w:space="0" w:color="000000"/>
            </w:tcBorders>
            <w:vAlign w:val="center"/>
          </w:tcPr>
          <w:p w14:paraId="64EF05EC"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01</w:t>
            </w:r>
          </w:p>
        </w:tc>
        <w:tc>
          <w:tcPr>
            <w:tcW w:w="1200" w:type="dxa"/>
            <w:tcBorders>
              <w:left w:val="single" w:sz="2" w:space="0" w:color="000000"/>
              <w:bottom w:val="single" w:sz="2" w:space="0" w:color="000000"/>
            </w:tcBorders>
            <w:vAlign w:val="center"/>
          </w:tcPr>
          <w:p w14:paraId="40C314A3" w14:textId="77777777" w:rsidR="007E48E9" w:rsidRDefault="00000000">
            <w:pPr>
              <w:pStyle w:val="Contedodatabela"/>
              <w:spacing w:after="113" w:line="276" w:lineRule="auto"/>
              <w:jc w:val="center"/>
              <w:rPr>
                <w:rFonts w:ascii="Verdana" w:hAnsi="Verdana" w:cs="Times New Roman"/>
                <w:sz w:val="20"/>
                <w:szCs w:val="20"/>
              </w:rPr>
            </w:pPr>
            <w:r>
              <w:rPr>
                <w:rFonts w:ascii="Verdana" w:hAnsi="Verdana" w:cs="Times New Roman"/>
                <w:sz w:val="20"/>
                <w:szCs w:val="20"/>
              </w:rPr>
              <w:t>PNCP</w:t>
            </w:r>
          </w:p>
        </w:tc>
        <w:tc>
          <w:tcPr>
            <w:tcW w:w="1079" w:type="dxa"/>
            <w:tcBorders>
              <w:left w:val="single" w:sz="2" w:space="0" w:color="000000"/>
              <w:bottom w:val="single" w:sz="2" w:space="0" w:color="000000"/>
            </w:tcBorders>
            <w:vAlign w:val="center"/>
          </w:tcPr>
          <w:p w14:paraId="16FB8C41"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12</w:t>
            </w:r>
          </w:p>
        </w:tc>
        <w:tc>
          <w:tcPr>
            <w:tcW w:w="1080" w:type="dxa"/>
            <w:tcBorders>
              <w:left w:val="single" w:sz="2" w:space="0" w:color="000000"/>
              <w:bottom w:val="single" w:sz="2" w:space="0" w:color="000000"/>
              <w:right w:val="single" w:sz="2" w:space="0" w:color="000000"/>
            </w:tcBorders>
            <w:vAlign w:val="center"/>
          </w:tcPr>
          <w:p w14:paraId="4B4067B0" w14:textId="77777777" w:rsidR="007E48E9" w:rsidRDefault="00000000">
            <w:pPr>
              <w:pStyle w:val="Contedodatabela"/>
              <w:spacing w:after="113"/>
              <w:jc w:val="center"/>
              <w:rPr>
                <w:rFonts w:ascii="Verdana" w:hAnsi="Verdana"/>
                <w:sz w:val="20"/>
                <w:szCs w:val="20"/>
              </w:rPr>
            </w:pPr>
            <w:r>
              <w:rPr>
                <w:rFonts w:ascii="Verdana" w:hAnsi="Verdana"/>
                <w:sz w:val="20"/>
                <w:szCs w:val="20"/>
              </w:rPr>
              <w:t>Mês</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00D6AF1F" w14:textId="77777777" w:rsidR="007E48E9" w:rsidRDefault="00000000">
            <w:pPr>
              <w:pStyle w:val="Corpodetexto"/>
              <w:widowControl w:val="0"/>
              <w:spacing w:before="0" w:after="113"/>
              <w:jc w:val="both"/>
              <w:rPr>
                <w:rFonts w:ascii="Verdana" w:hAnsi="Verdana"/>
                <w:color w:val="000000"/>
                <w:sz w:val="20"/>
                <w:szCs w:val="20"/>
              </w:rPr>
            </w:pPr>
            <w:r>
              <w:rPr>
                <w:rFonts w:ascii="Verdana" w:hAnsi="Verdana"/>
                <w:color w:val="000000"/>
                <w:sz w:val="20"/>
                <w:szCs w:val="20"/>
              </w:rPr>
              <w:t>Ambiente Tecnológico – Data Center para Hospedagem dos Sistemas Contratados</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4708E61E" w14:textId="77777777" w:rsidR="007E48E9" w:rsidRDefault="00000000">
            <w:pPr>
              <w:pStyle w:val="Contedodatabela"/>
              <w:spacing w:after="113" w:line="276" w:lineRule="auto"/>
              <w:jc w:val="center"/>
              <w:rPr>
                <w:rFonts w:ascii="Verdana" w:hAnsi="Verdana" w:cs="Times New Roman"/>
                <w:sz w:val="20"/>
                <w:szCs w:val="20"/>
              </w:rPr>
            </w:pPr>
            <w:r>
              <w:rPr>
                <w:rFonts w:ascii="Verdana" w:hAnsi="Verdana" w:cs="Times New Roman"/>
                <w:sz w:val="20"/>
                <w:szCs w:val="20"/>
              </w:rPr>
              <w:t>R$ 1.212,23</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B70ED09" w14:textId="77777777" w:rsidR="007E48E9" w:rsidRDefault="00000000">
            <w:pPr>
              <w:pStyle w:val="Contedodatabela"/>
              <w:spacing w:after="113" w:line="276" w:lineRule="auto"/>
              <w:jc w:val="center"/>
              <w:rPr>
                <w:rFonts w:ascii="Verdana" w:hAnsi="Verdana" w:cs="Times New Roman"/>
                <w:sz w:val="20"/>
                <w:szCs w:val="20"/>
              </w:rPr>
            </w:pPr>
            <w:r>
              <w:rPr>
                <w:rFonts w:ascii="Verdana" w:hAnsi="Verdana" w:cs="Times New Roman"/>
                <w:sz w:val="20"/>
                <w:szCs w:val="20"/>
              </w:rPr>
              <w:t>R$ 14.546,76</w:t>
            </w:r>
          </w:p>
        </w:tc>
      </w:tr>
      <w:tr w:rsidR="007E48E9" w14:paraId="3405DD5B" w14:textId="77777777">
        <w:tc>
          <w:tcPr>
            <w:tcW w:w="7424" w:type="dxa"/>
            <w:gridSpan w:val="5"/>
            <w:tcBorders>
              <w:left w:val="single" w:sz="2" w:space="0" w:color="000000"/>
              <w:bottom w:val="single" w:sz="2" w:space="0" w:color="000000"/>
            </w:tcBorders>
            <w:vAlign w:val="center"/>
          </w:tcPr>
          <w:p w14:paraId="64A8CB4C" w14:textId="77777777" w:rsidR="007E48E9" w:rsidRDefault="00000000">
            <w:pPr>
              <w:pStyle w:val="Contedodatabela"/>
              <w:spacing w:after="113" w:line="276" w:lineRule="auto"/>
              <w:jc w:val="center"/>
              <w:rPr>
                <w:rFonts w:ascii="Verdana" w:hAnsi="Verdana"/>
                <w:sz w:val="20"/>
                <w:szCs w:val="20"/>
              </w:rPr>
            </w:pPr>
            <w:r>
              <w:rPr>
                <w:rFonts w:ascii="Verdana" w:hAnsi="Verdana"/>
                <w:b/>
                <w:bCs/>
                <w:sz w:val="20"/>
                <w:szCs w:val="20"/>
              </w:rPr>
              <w:t xml:space="preserve">TOTAL </w:t>
            </w:r>
            <w:r>
              <w:rPr>
                <w:rFonts w:ascii="Verdana" w:hAnsi="Verdana"/>
                <w:b/>
                <w:bCs/>
                <w:color w:val="000000"/>
                <w:sz w:val="20"/>
                <w:szCs w:val="20"/>
              </w:rPr>
              <w:t>AMBIENTE TECNOLÓGICO</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3A8BFFBF" w14:textId="77777777" w:rsidR="007E48E9" w:rsidRDefault="00000000">
            <w:pPr>
              <w:pStyle w:val="Contedodatabela"/>
              <w:spacing w:after="113" w:line="276" w:lineRule="auto"/>
              <w:jc w:val="center"/>
              <w:rPr>
                <w:rFonts w:ascii="Verdana" w:hAnsi="Verdana" w:cs="Times New Roman"/>
                <w:b/>
                <w:bCs/>
                <w:sz w:val="20"/>
                <w:szCs w:val="20"/>
              </w:rPr>
            </w:pPr>
            <w:r>
              <w:rPr>
                <w:rFonts w:ascii="Verdana" w:hAnsi="Verdana" w:cs="Times New Roman"/>
                <w:b/>
                <w:bCs/>
                <w:sz w:val="20"/>
                <w:szCs w:val="20"/>
              </w:rPr>
              <w:t>R$ 1.212,23</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7DF13C3" w14:textId="77777777" w:rsidR="007E48E9" w:rsidRDefault="00000000">
            <w:pPr>
              <w:pStyle w:val="Contedodatabela"/>
              <w:spacing w:after="113" w:line="276" w:lineRule="auto"/>
              <w:jc w:val="center"/>
              <w:rPr>
                <w:rFonts w:ascii="Verdana" w:hAnsi="Verdana" w:cs="Times New Roman"/>
                <w:b/>
                <w:bCs/>
                <w:sz w:val="20"/>
                <w:szCs w:val="20"/>
              </w:rPr>
            </w:pPr>
            <w:r>
              <w:rPr>
                <w:rFonts w:ascii="Verdana" w:hAnsi="Verdana" w:cs="Times New Roman"/>
                <w:b/>
                <w:bCs/>
                <w:sz w:val="20"/>
                <w:szCs w:val="20"/>
              </w:rPr>
              <w:t>R$ 14.546,76</w:t>
            </w:r>
          </w:p>
        </w:tc>
      </w:tr>
      <w:tr w:rsidR="007E48E9" w14:paraId="72B4B1D1" w14:textId="77777777">
        <w:trPr>
          <w:trHeight w:val="355"/>
        </w:trPr>
        <w:tc>
          <w:tcPr>
            <w:tcW w:w="10600" w:type="dxa"/>
            <w:gridSpan w:val="7"/>
            <w:tcBorders>
              <w:left w:val="single" w:sz="2" w:space="0" w:color="000000"/>
              <w:bottom w:val="single" w:sz="2" w:space="0" w:color="000000"/>
              <w:right w:val="single" w:sz="2" w:space="0" w:color="000000"/>
            </w:tcBorders>
            <w:vAlign w:val="center"/>
          </w:tcPr>
          <w:p w14:paraId="6009CAC4" w14:textId="77777777" w:rsidR="007E48E9" w:rsidRDefault="007E48E9">
            <w:pPr>
              <w:pStyle w:val="Contedodatabela"/>
              <w:spacing w:line="276" w:lineRule="auto"/>
              <w:jc w:val="center"/>
              <w:rPr>
                <w:rFonts w:ascii="Verdana" w:hAnsi="Verdana"/>
                <w:b/>
                <w:bCs/>
                <w:sz w:val="20"/>
                <w:szCs w:val="20"/>
              </w:rPr>
            </w:pPr>
          </w:p>
        </w:tc>
      </w:tr>
      <w:tr w:rsidR="007E48E9" w14:paraId="658AD832" w14:textId="77777777">
        <w:tc>
          <w:tcPr>
            <w:tcW w:w="7424" w:type="dxa"/>
            <w:gridSpan w:val="5"/>
            <w:tcBorders>
              <w:left w:val="single" w:sz="2" w:space="0" w:color="000000"/>
              <w:bottom w:val="single" w:sz="2" w:space="0" w:color="000000"/>
            </w:tcBorders>
            <w:vAlign w:val="center"/>
          </w:tcPr>
          <w:p w14:paraId="19169F5B" w14:textId="77777777" w:rsidR="007E48E9" w:rsidRDefault="00000000">
            <w:pPr>
              <w:pStyle w:val="Contedodatabela"/>
              <w:spacing w:after="113" w:line="276" w:lineRule="auto"/>
              <w:jc w:val="center"/>
              <w:rPr>
                <w:rFonts w:ascii="Verdana" w:hAnsi="Verdana"/>
                <w:b/>
                <w:bCs/>
                <w:sz w:val="20"/>
                <w:szCs w:val="20"/>
              </w:rPr>
            </w:pPr>
            <w:r>
              <w:rPr>
                <w:rFonts w:ascii="Verdana" w:hAnsi="Verdana"/>
                <w:b/>
                <w:bCs/>
                <w:sz w:val="20"/>
                <w:szCs w:val="20"/>
              </w:rPr>
              <w:t>TOTAL SERVIÇOS MENSAIS</w:t>
            </w:r>
          </w:p>
        </w:tc>
        <w:tc>
          <w:tcPr>
            <w:tcW w:w="3176"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3EC266D" w14:textId="77777777" w:rsidR="007E48E9" w:rsidRDefault="00000000">
            <w:pPr>
              <w:pStyle w:val="Contedodatabela"/>
              <w:spacing w:after="113" w:line="276" w:lineRule="auto"/>
              <w:jc w:val="center"/>
              <w:rPr>
                <w:rFonts w:ascii="Verdana" w:hAnsi="Verdana" w:cs="Times New Roman"/>
                <w:b/>
                <w:bCs/>
                <w:sz w:val="20"/>
                <w:szCs w:val="20"/>
              </w:rPr>
            </w:pPr>
            <w:r>
              <w:rPr>
                <w:rFonts w:ascii="Verdana" w:hAnsi="Verdana" w:cs="Times New Roman"/>
                <w:b/>
                <w:bCs/>
                <w:sz w:val="20"/>
                <w:szCs w:val="20"/>
              </w:rPr>
              <w:t>R$ 3.948,81</w:t>
            </w:r>
          </w:p>
        </w:tc>
      </w:tr>
      <w:tr w:rsidR="007E48E9" w14:paraId="240BFA04" w14:textId="77777777">
        <w:tc>
          <w:tcPr>
            <w:tcW w:w="7424" w:type="dxa"/>
            <w:gridSpan w:val="5"/>
            <w:tcBorders>
              <w:left w:val="single" w:sz="2" w:space="0" w:color="000000"/>
              <w:bottom w:val="single" w:sz="2" w:space="0" w:color="000000"/>
            </w:tcBorders>
            <w:vAlign w:val="center"/>
          </w:tcPr>
          <w:p w14:paraId="1A94E3A3" w14:textId="77777777" w:rsidR="007E48E9" w:rsidRDefault="00000000">
            <w:pPr>
              <w:pStyle w:val="Contedodatabela"/>
              <w:spacing w:after="113" w:line="276" w:lineRule="auto"/>
              <w:jc w:val="center"/>
              <w:rPr>
                <w:rFonts w:ascii="Verdana" w:hAnsi="Verdana"/>
                <w:b/>
                <w:bCs/>
                <w:sz w:val="20"/>
                <w:szCs w:val="20"/>
              </w:rPr>
            </w:pPr>
            <w:r>
              <w:rPr>
                <w:rFonts w:ascii="Verdana" w:hAnsi="Verdana"/>
                <w:b/>
                <w:bCs/>
                <w:sz w:val="20"/>
                <w:szCs w:val="20"/>
              </w:rPr>
              <w:t>TOTAL ANUAL (SEM SERVIÇOS DE IMPLANTAÇÃO)</w:t>
            </w:r>
          </w:p>
        </w:tc>
        <w:tc>
          <w:tcPr>
            <w:tcW w:w="3176"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CEDA626" w14:textId="77777777" w:rsidR="007E48E9" w:rsidRDefault="00000000">
            <w:pPr>
              <w:pStyle w:val="Corpodetexto"/>
              <w:widowControl w:val="0"/>
              <w:spacing w:before="0" w:after="113"/>
              <w:jc w:val="center"/>
              <w:rPr>
                <w:rFonts w:ascii="Verdana" w:hAnsi="Verdana"/>
                <w:b/>
                <w:bCs/>
                <w:color w:val="000000"/>
                <w:sz w:val="20"/>
                <w:szCs w:val="20"/>
              </w:rPr>
            </w:pPr>
            <w:r>
              <w:rPr>
                <w:rFonts w:ascii="Verdana" w:hAnsi="Verdana"/>
                <w:b/>
                <w:bCs/>
                <w:color w:val="000000"/>
                <w:sz w:val="20"/>
                <w:szCs w:val="20"/>
              </w:rPr>
              <w:t>R$ 47.385,72</w:t>
            </w:r>
          </w:p>
        </w:tc>
      </w:tr>
      <w:tr w:rsidR="007E48E9" w14:paraId="7C37BB7D" w14:textId="77777777">
        <w:tc>
          <w:tcPr>
            <w:tcW w:w="7424" w:type="dxa"/>
            <w:gridSpan w:val="5"/>
            <w:tcBorders>
              <w:left w:val="single" w:sz="2" w:space="0" w:color="000000"/>
              <w:bottom w:val="single" w:sz="2" w:space="0" w:color="000000"/>
            </w:tcBorders>
            <w:vAlign w:val="center"/>
          </w:tcPr>
          <w:p w14:paraId="7A8328BE" w14:textId="77777777" w:rsidR="007E48E9" w:rsidRDefault="00000000">
            <w:pPr>
              <w:pStyle w:val="Contedodatabela"/>
              <w:spacing w:after="113" w:line="276" w:lineRule="auto"/>
              <w:jc w:val="center"/>
              <w:rPr>
                <w:rFonts w:ascii="Verdana" w:hAnsi="Verdana"/>
                <w:b/>
                <w:bCs/>
                <w:sz w:val="20"/>
                <w:szCs w:val="20"/>
              </w:rPr>
            </w:pPr>
            <w:r>
              <w:rPr>
                <w:rFonts w:ascii="Verdana" w:hAnsi="Verdana"/>
                <w:b/>
                <w:bCs/>
                <w:sz w:val="20"/>
                <w:szCs w:val="20"/>
              </w:rPr>
              <w:t>TOTAL GLOBAL</w:t>
            </w:r>
          </w:p>
        </w:tc>
        <w:tc>
          <w:tcPr>
            <w:tcW w:w="3176"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4BEF132" w14:textId="77777777" w:rsidR="007E48E9" w:rsidRDefault="00000000">
            <w:pPr>
              <w:pStyle w:val="Contedodatabela"/>
              <w:spacing w:after="113" w:line="276" w:lineRule="auto"/>
              <w:jc w:val="center"/>
              <w:rPr>
                <w:rFonts w:ascii="Verdana" w:hAnsi="Verdana" w:cs="Times New Roman"/>
                <w:b/>
                <w:bCs/>
                <w:sz w:val="20"/>
                <w:szCs w:val="20"/>
              </w:rPr>
            </w:pPr>
            <w:r>
              <w:rPr>
                <w:rFonts w:ascii="Verdana" w:hAnsi="Verdana" w:cs="Times New Roman"/>
                <w:b/>
                <w:bCs/>
                <w:sz w:val="20"/>
                <w:szCs w:val="20"/>
              </w:rPr>
              <w:t>R$ 55.042,67</w:t>
            </w:r>
          </w:p>
        </w:tc>
      </w:tr>
    </w:tbl>
    <w:p w14:paraId="0120B0B0" w14:textId="77777777" w:rsidR="007E48E9" w:rsidRDefault="007E48E9">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eastAsia="Times New Roman" w:hAnsi="Verdana" w:cs="Arial"/>
          <w:sz w:val="20"/>
          <w:szCs w:val="20"/>
        </w:rPr>
      </w:pPr>
    </w:p>
    <w:p w14:paraId="5E26F03B" w14:textId="77777777" w:rsidR="007E48E9" w:rsidRDefault="00000000">
      <w:pPr>
        <w:pBdr>
          <w:bottom w:val="double" w:sz="4" w:space="0" w:color="000000"/>
        </w:pBdr>
        <w:tabs>
          <w:tab w:val="left" w:pos="10348"/>
        </w:tabs>
        <w:spacing w:before="57" w:after="57" w:line="276" w:lineRule="auto"/>
        <w:rPr>
          <w:rFonts w:ascii="Verdana" w:hAnsi="Verdana"/>
          <w:sz w:val="20"/>
          <w:szCs w:val="20"/>
        </w:rPr>
      </w:pPr>
      <w:r>
        <w:rPr>
          <w:rFonts w:ascii="Verdana" w:eastAsia="Batang" w:hAnsi="Verdana"/>
          <w:b/>
          <w:sz w:val="20"/>
          <w:szCs w:val="20"/>
        </w:rPr>
        <w:t>IV – SESSÃO PÚBLICA DO PREGÃO ELETRÔNICO</w:t>
      </w:r>
    </w:p>
    <w:p w14:paraId="16DAEC4B" w14:textId="77777777" w:rsidR="007E48E9" w:rsidRDefault="00000000">
      <w:pPr>
        <w:pStyle w:val="Corpodetexto3"/>
        <w:tabs>
          <w:tab w:val="left" w:pos="658"/>
          <w:tab w:val="left" w:pos="1926"/>
          <w:tab w:val="left" w:pos="2466"/>
          <w:tab w:val="left" w:pos="3186"/>
          <w:tab w:val="left" w:pos="3906"/>
          <w:tab w:val="left" w:pos="4626"/>
          <w:tab w:val="left" w:pos="5346"/>
        </w:tabs>
        <w:spacing w:before="57" w:after="57" w:line="276" w:lineRule="auto"/>
        <w:rPr>
          <w:rFonts w:ascii="Verdana" w:hAnsi="Verdana"/>
          <w:sz w:val="20"/>
        </w:rPr>
      </w:pPr>
      <w:r>
        <w:rPr>
          <w:rFonts w:ascii="Verdana" w:eastAsia="Batang" w:hAnsi="Verdana" w:cs="Times New Roman"/>
          <w:b/>
          <w:sz w:val="20"/>
        </w:rPr>
        <w:t>4.1 –</w:t>
      </w:r>
      <w:r>
        <w:rPr>
          <w:rFonts w:ascii="Verdana" w:eastAsia="Batang" w:hAnsi="Verdana" w:cs="Times New Roman"/>
          <w:sz w:val="20"/>
        </w:rPr>
        <w:t xml:space="preserve"> O procedimento do Pregão Eletrônico será realizado por meio de sessão pública no Sistema de Compras do Governo Federal (www.gov.br/compras), mediante condições de segurança, criptografia e autenticação em todas as suas fases.</w:t>
      </w:r>
    </w:p>
    <w:p w14:paraId="67A7A48D" w14:textId="77777777" w:rsidR="007E48E9" w:rsidRDefault="00000000">
      <w:pPr>
        <w:pStyle w:val="Corpodetexto3"/>
        <w:tabs>
          <w:tab w:val="left" w:pos="658"/>
          <w:tab w:val="left" w:pos="1926"/>
          <w:tab w:val="left" w:pos="2466"/>
          <w:tab w:val="left" w:pos="3186"/>
          <w:tab w:val="left" w:pos="3906"/>
          <w:tab w:val="left" w:pos="4626"/>
          <w:tab w:val="left" w:pos="5346"/>
        </w:tabs>
        <w:spacing w:before="57" w:after="57" w:line="276" w:lineRule="auto"/>
        <w:rPr>
          <w:rFonts w:ascii="Verdana" w:hAnsi="Verdana"/>
          <w:sz w:val="20"/>
        </w:rPr>
      </w:pPr>
      <w:r>
        <w:rPr>
          <w:rFonts w:ascii="Verdana" w:eastAsia="Batang" w:hAnsi="Verdana" w:cs="Times New Roman"/>
          <w:b/>
          <w:sz w:val="20"/>
        </w:rPr>
        <w:t>4.2 –</w:t>
      </w:r>
      <w:r>
        <w:rPr>
          <w:rFonts w:ascii="Verdana" w:eastAsia="Batang" w:hAnsi="Verdana" w:cs="Times New Roman"/>
          <w:sz w:val="20"/>
        </w:rPr>
        <w:t xml:space="preserve"> Todos os documentos de habilitação e o Modelo de Proposta (ANEXO III) devem ser inseridos no sistema após a sessão pública de disputa.</w:t>
      </w:r>
    </w:p>
    <w:p w14:paraId="2560B4FA" w14:textId="77777777" w:rsidR="007E48E9" w:rsidRDefault="00000000">
      <w:pPr>
        <w:pStyle w:val="Corpodetexto3"/>
        <w:tabs>
          <w:tab w:val="left" w:pos="658"/>
          <w:tab w:val="left" w:pos="1926"/>
          <w:tab w:val="left" w:pos="2466"/>
          <w:tab w:val="left" w:pos="3186"/>
          <w:tab w:val="left" w:pos="3906"/>
          <w:tab w:val="left" w:pos="4626"/>
          <w:tab w:val="left" w:pos="5346"/>
        </w:tabs>
        <w:spacing w:before="57" w:after="57" w:line="276" w:lineRule="auto"/>
      </w:pPr>
      <w:r>
        <w:rPr>
          <w:rFonts w:ascii="Verdana" w:eastAsia="Batang" w:hAnsi="Verdana" w:cs="Times New Roman"/>
          <w:b/>
          <w:bCs/>
          <w:sz w:val="20"/>
        </w:rPr>
        <w:t>4.2.1 -</w:t>
      </w:r>
      <w:r>
        <w:rPr>
          <w:rFonts w:ascii="Verdana" w:eastAsia="Batang" w:hAnsi="Verdana" w:cs="Times New Roman"/>
          <w:sz w:val="20"/>
        </w:rPr>
        <w:t xml:space="preserve"> Como condição para participação na sessão pública, os licitantes devem inserir os dados da proposta inicial no Sistema de Compras do Governo Federal (</w:t>
      </w:r>
      <w:hyperlink r:id="rId7">
        <w:r w:rsidR="007E48E9">
          <w:rPr>
            <w:rStyle w:val="Hyperlink"/>
            <w:rFonts w:ascii="Verdana" w:eastAsia="Batang" w:hAnsi="Verdana" w:cs="Times New Roman"/>
            <w:color w:val="auto"/>
            <w:sz w:val="20"/>
            <w:u w:val="none"/>
          </w:rPr>
          <w:t>www.gov.br/compras</w:t>
        </w:r>
      </w:hyperlink>
      <w:r>
        <w:rPr>
          <w:rFonts w:ascii="Verdana" w:eastAsia="Batang" w:hAnsi="Verdana" w:cs="Times New Roman"/>
          <w:sz w:val="20"/>
        </w:rPr>
        <w:t>).</w:t>
      </w:r>
    </w:p>
    <w:p w14:paraId="0A0BA90D"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 –</w:t>
      </w:r>
      <w:r>
        <w:rPr>
          <w:rFonts w:ascii="Verdana" w:eastAsia="Batang" w:hAnsi="Verdana"/>
          <w:sz w:val="20"/>
          <w:szCs w:val="20"/>
        </w:rPr>
        <w:t xml:space="preserve"> O Pregão Eletrônico será conduzido pelo Pregoeiro, que terá, em especial, as seguintes atribuições:</w:t>
      </w:r>
    </w:p>
    <w:p w14:paraId="7C60FD1C"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4.3.1 -</w:t>
      </w:r>
      <w:r>
        <w:rPr>
          <w:rFonts w:ascii="Verdana" w:eastAsia="Batang" w:hAnsi="Verdana"/>
          <w:sz w:val="20"/>
          <w:szCs w:val="20"/>
        </w:rPr>
        <w:t xml:space="preserve"> Conduzir a sessão pública do Pregão Eletrônico;</w:t>
      </w:r>
    </w:p>
    <w:p w14:paraId="2FDB0D84"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lastRenderedPageBreak/>
        <w:t>4.3.2 -</w:t>
      </w:r>
      <w:r>
        <w:rPr>
          <w:rFonts w:ascii="Verdana" w:eastAsia="Batang" w:hAnsi="Verdana"/>
          <w:sz w:val="20"/>
          <w:szCs w:val="20"/>
        </w:rPr>
        <w:t xml:space="preserve"> Receber, examinar e decidir as impugnações e os pedidos de esclarecimentos ao edital e aos anexos, além de poder requisitar subsídios formais aos responsáveis pela instrução desses documentos;</w:t>
      </w:r>
    </w:p>
    <w:p w14:paraId="01A23BA0"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4.3.3 -</w:t>
      </w:r>
      <w:r>
        <w:rPr>
          <w:rFonts w:ascii="Verdana" w:eastAsia="Batang" w:hAnsi="Verdana"/>
          <w:sz w:val="20"/>
          <w:szCs w:val="20"/>
        </w:rPr>
        <w:t xml:space="preserve"> Verificar a conformidade da(s) proposta(s) em relação aos requisitos estabelecidos no edital;</w:t>
      </w:r>
    </w:p>
    <w:p w14:paraId="47D62538"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4.3.4 -</w:t>
      </w:r>
      <w:r>
        <w:rPr>
          <w:rFonts w:ascii="Verdana" w:eastAsia="Batang" w:hAnsi="Verdana"/>
          <w:sz w:val="20"/>
          <w:szCs w:val="20"/>
        </w:rPr>
        <w:t xml:space="preserve"> Coordenar a sessão pública e o envio de lances;</w:t>
      </w:r>
    </w:p>
    <w:p w14:paraId="7D5EA2BE"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4.3.5 -</w:t>
      </w:r>
      <w:r>
        <w:rPr>
          <w:rFonts w:ascii="Verdana" w:eastAsia="Batang" w:hAnsi="Verdana"/>
          <w:sz w:val="20"/>
          <w:szCs w:val="20"/>
        </w:rPr>
        <w:t xml:space="preserve"> Verificar e julgar as condições de habilitação;</w:t>
      </w:r>
    </w:p>
    <w:p w14:paraId="329650AE"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4.3.6</w:t>
      </w:r>
      <w:r>
        <w:rPr>
          <w:rFonts w:ascii="Verdana" w:eastAsia="Batang" w:hAnsi="Verdana"/>
          <w:sz w:val="20"/>
          <w:szCs w:val="20"/>
        </w:rPr>
        <w:t xml:space="preserve"> - Sanear erros ou falhas que não alterem a substância das propostas, dos documentos de habilitação e sua validade jurídica;</w:t>
      </w:r>
    </w:p>
    <w:p w14:paraId="4BA1EE37"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4.3.7 -</w:t>
      </w:r>
      <w:r>
        <w:rPr>
          <w:rFonts w:ascii="Verdana" w:eastAsia="Batang" w:hAnsi="Verdana"/>
          <w:sz w:val="20"/>
          <w:szCs w:val="20"/>
        </w:rPr>
        <w:t xml:space="preserve"> Receber, examinar e decidir os recursos e encaminhá-los à autoridade competente quando mantiver sua decisão;</w:t>
      </w:r>
    </w:p>
    <w:p w14:paraId="1E3C8701"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w:t>
      </w:r>
      <w:r>
        <w:rPr>
          <w:rFonts w:ascii="Verdana" w:eastAsia="Batang" w:hAnsi="Verdana"/>
          <w:b/>
          <w:bCs/>
          <w:sz w:val="20"/>
          <w:szCs w:val="20"/>
        </w:rPr>
        <w:t>.8 -</w:t>
      </w:r>
      <w:r>
        <w:rPr>
          <w:rFonts w:ascii="Verdana" w:eastAsia="Batang" w:hAnsi="Verdana"/>
          <w:sz w:val="20"/>
          <w:szCs w:val="20"/>
        </w:rPr>
        <w:t xml:space="preserve"> Indicar o vencedor do certame;</w:t>
      </w:r>
    </w:p>
    <w:p w14:paraId="1313EEBC"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4.3.9 -</w:t>
      </w:r>
      <w:r>
        <w:rPr>
          <w:rFonts w:ascii="Verdana" w:eastAsia="Batang" w:hAnsi="Verdana"/>
          <w:sz w:val="20"/>
          <w:szCs w:val="20"/>
        </w:rPr>
        <w:t xml:space="preserve"> Adjudicar o objeto, quando não houver recurso;</w:t>
      </w:r>
    </w:p>
    <w:p w14:paraId="7EBA4CB4"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w:t>
      </w:r>
      <w:r>
        <w:rPr>
          <w:rFonts w:ascii="Verdana" w:eastAsia="Batang" w:hAnsi="Verdana"/>
          <w:sz w:val="20"/>
          <w:szCs w:val="20"/>
        </w:rPr>
        <w:t>.</w:t>
      </w:r>
      <w:r>
        <w:rPr>
          <w:rFonts w:ascii="Verdana" w:eastAsia="Batang" w:hAnsi="Verdana"/>
          <w:b/>
          <w:bCs/>
          <w:sz w:val="20"/>
          <w:szCs w:val="20"/>
        </w:rPr>
        <w:t>10 -</w:t>
      </w:r>
      <w:r>
        <w:rPr>
          <w:rFonts w:ascii="Verdana" w:eastAsia="Batang" w:hAnsi="Verdana"/>
          <w:sz w:val="20"/>
          <w:szCs w:val="20"/>
        </w:rPr>
        <w:t xml:space="preserve"> Conduzir os trabalhos da equipe de apoio;</w:t>
      </w:r>
    </w:p>
    <w:p w14:paraId="4C1D8E40"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4.3.11 -</w:t>
      </w:r>
      <w:r>
        <w:rPr>
          <w:rFonts w:ascii="Verdana" w:eastAsia="Batang" w:hAnsi="Verdana"/>
          <w:sz w:val="20"/>
          <w:szCs w:val="20"/>
        </w:rPr>
        <w:t xml:space="preserve"> Encaminhar o processo devidamente instruído à autoridade competente e propor a sua homologação.</w:t>
      </w:r>
    </w:p>
    <w:p w14:paraId="24E706A4" w14:textId="77777777" w:rsidR="007E48E9" w:rsidRDefault="00000000">
      <w:pPr>
        <w:tabs>
          <w:tab w:val="left" w:pos="-414"/>
          <w:tab w:val="left" w:pos="0"/>
          <w:tab w:val="left" w:pos="306"/>
          <w:tab w:val="left" w:pos="658"/>
          <w:tab w:val="left" w:pos="701"/>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4.4 –</w:t>
      </w:r>
      <w:r>
        <w:rPr>
          <w:rFonts w:ascii="Verdana" w:eastAsia="Batang" w:hAnsi="Verdana"/>
          <w:sz w:val="20"/>
          <w:szCs w:val="20"/>
        </w:rPr>
        <w:t xml:space="preserve"> O Pregoeiro poderá solicitar manifestação técnica da Procuradoria-Geral da Prefeitura Municipal, ou da CASP-SGP, a fim de subsidiar sua decisão.</w:t>
      </w:r>
    </w:p>
    <w:p w14:paraId="4DF68FCE" w14:textId="77777777" w:rsidR="007E48E9" w:rsidRDefault="00000000">
      <w:pPr>
        <w:tabs>
          <w:tab w:val="left" w:pos="-414"/>
          <w:tab w:val="left" w:pos="0"/>
          <w:tab w:val="left" w:pos="306"/>
          <w:tab w:val="left" w:pos="658"/>
          <w:tab w:val="left" w:pos="701"/>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4.5 –</w:t>
      </w:r>
      <w:r>
        <w:rPr>
          <w:rFonts w:ascii="Verdana" w:eastAsia="Batang" w:hAnsi="Verdana"/>
          <w:sz w:val="20"/>
          <w:szCs w:val="20"/>
        </w:rPr>
        <w:t xml:space="preserve"> Caberá à equipe de apoio auxiliar o Pregoeiro nas etapas do processo licitatório.</w:t>
      </w:r>
    </w:p>
    <w:p w14:paraId="06F79D98" w14:textId="77777777" w:rsidR="007E48E9" w:rsidRDefault="007E48E9">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rPr>
          <w:rFonts w:ascii="Verdana" w:eastAsia="Batang" w:hAnsi="Verdana"/>
          <w:b/>
          <w:sz w:val="20"/>
          <w:szCs w:val="20"/>
        </w:rPr>
      </w:pPr>
    </w:p>
    <w:p w14:paraId="646575D5" w14:textId="77777777" w:rsidR="007E48E9" w:rsidRDefault="00000000">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rPr>
          <w:rFonts w:ascii="Verdana" w:hAnsi="Verdana"/>
          <w:sz w:val="20"/>
          <w:szCs w:val="20"/>
        </w:rPr>
      </w:pPr>
      <w:r>
        <w:rPr>
          <w:rFonts w:ascii="Verdana" w:eastAsia="Batang" w:hAnsi="Verdana"/>
          <w:b/>
          <w:sz w:val="20"/>
          <w:szCs w:val="20"/>
        </w:rPr>
        <w:t xml:space="preserve">V – </w:t>
      </w:r>
      <w:r>
        <w:rPr>
          <w:rFonts w:ascii="Verdana" w:eastAsia="Batang" w:hAnsi="Verdana"/>
          <w:b/>
          <w:bCs/>
          <w:sz w:val="20"/>
          <w:szCs w:val="20"/>
        </w:rPr>
        <w:t>DIVULGAÇÃO, ESCLARECIMENTOS E IMPUGNAÇÕES</w:t>
      </w:r>
    </w:p>
    <w:p w14:paraId="23664D43"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5.1 –</w:t>
      </w:r>
      <w:r>
        <w:rPr>
          <w:rFonts w:ascii="Verdana" w:eastAsia="Batang" w:hAnsi="Verdana"/>
          <w:sz w:val="20"/>
          <w:szCs w:val="20"/>
        </w:rPr>
        <w:t xml:space="preserve"> As empresas interessadas em participar do certame deverão retirar o edital nos sites https://saogabriel.es.gov.br/licitacoes ou Sistema de Compras do Governo Federal (www.gov.br/compras), ficando obrigadas a acompanhar as publicações referentes à licitação nestes endereços eletrônicos, no Diário Oficial Eletrônico dos Municípios do Estado do Espírito Santo (DIO – AMUNES), como também no Diário Oficial do Estado do Espírito Santo, tendo em vista a possibilidade de alterações, disponibilização de informações e avisos sobre o procedimento do pregão eletrônico.</w:t>
      </w:r>
    </w:p>
    <w:p w14:paraId="26AED7DC"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pPr>
      <w:r>
        <w:rPr>
          <w:rFonts w:ascii="Verdana" w:eastAsia="Batang" w:hAnsi="Verdana"/>
          <w:b/>
          <w:bCs/>
          <w:sz w:val="20"/>
          <w:szCs w:val="20"/>
        </w:rPr>
        <w:t>5.2 –</w:t>
      </w:r>
      <w:r>
        <w:rPr>
          <w:rFonts w:ascii="Verdana" w:eastAsia="Batang" w:hAnsi="Verdana"/>
          <w:sz w:val="20"/>
          <w:szCs w:val="20"/>
        </w:rPr>
        <w:t xml:space="preserve"> Qualquer pessoa é parte legítima para impugnar edital de licitação ou para solicitar esclarecimento sobre os seus termos, devendo encaminhar o pedido até 3 (três) dias úteis antes da data de abertura da sessão pública, mediante documento formalizado e apresentado nos endereços eletrônicos (</w:t>
      </w:r>
      <w:hyperlink r:id="rId8">
        <w:r w:rsidR="007E48E9">
          <w:rPr>
            <w:rStyle w:val="Hyperlink"/>
            <w:rFonts w:ascii="Verdana" w:eastAsia="Batang" w:hAnsi="Verdana"/>
            <w:color w:val="auto"/>
            <w:sz w:val="20"/>
            <w:szCs w:val="20"/>
          </w:rPr>
          <w:t>licitacao@saogabriel.es.gov.br</w:t>
        </w:r>
      </w:hyperlink>
      <w:r>
        <w:rPr>
          <w:rStyle w:val="InternetLink"/>
          <w:rFonts w:ascii="Verdana" w:eastAsia="Batang" w:hAnsi="Verdana"/>
          <w:color w:val="auto"/>
          <w:sz w:val="20"/>
          <w:szCs w:val="20"/>
        </w:rPr>
        <w:t xml:space="preserve"> e </w:t>
      </w:r>
      <w:hyperlink r:id="rId9">
        <w:r w:rsidR="007E48E9">
          <w:rPr>
            <w:rStyle w:val="Hyperlink"/>
            <w:rFonts w:ascii="Verdana" w:eastAsia="Batang" w:hAnsi="Verdana" w:cs="Calibri"/>
            <w:color w:val="000000"/>
            <w:sz w:val="20"/>
            <w:szCs w:val="20"/>
          </w:rPr>
          <w:t>caspsgp@gmail.com</w:t>
        </w:r>
      </w:hyperlink>
      <w:r>
        <w:rPr>
          <w:rFonts w:ascii="Verdana" w:eastAsia="Batang" w:hAnsi="Verdana"/>
          <w:sz w:val="20"/>
          <w:szCs w:val="20"/>
        </w:rPr>
        <w:t>).</w:t>
      </w:r>
    </w:p>
    <w:p w14:paraId="1C9BE891"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5.2.1 -</w:t>
      </w:r>
      <w:r>
        <w:rPr>
          <w:rFonts w:ascii="Verdana" w:eastAsia="Batang" w:hAnsi="Verdana"/>
          <w:sz w:val="20"/>
          <w:szCs w:val="20"/>
        </w:rPr>
        <w:t xml:space="preserve"> O Pregoeiro ou a Comissão de Contratação, quando o substituir, responderá aos pedidos de esclarecimentos e/ou impugnação no prazo de até 3 (três) dias úteis contado da data de recebimento do pedido, limitado ao último dia útil anterior à data da abertura do certame, e poderá requisitar subsídios formais aos responsáveis pela elaboração do Termo de Referência e seus anexos.</w:t>
      </w:r>
    </w:p>
    <w:p w14:paraId="2435CDC2"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5.2.2 -</w:t>
      </w:r>
      <w:r>
        <w:rPr>
          <w:rFonts w:ascii="Verdana" w:eastAsia="Batang" w:hAnsi="Verdana"/>
          <w:sz w:val="20"/>
          <w:szCs w:val="20"/>
        </w:rPr>
        <w:t xml:space="preserve"> A impugnação não possui efeito suspensivo, sendo a sua concessão medida excepcional que deverá ser motivada pelo Pregoeiro ou pela Comissão de Contratação, quando o substituir, ou ainda pelos responsáveis pela elaboração do Termo de Referência e seus anexos, nos autos do processo de licitação. </w:t>
      </w:r>
    </w:p>
    <w:p w14:paraId="3F233F1A"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5.2.3 -</w:t>
      </w:r>
      <w:r>
        <w:rPr>
          <w:rFonts w:ascii="Verdana" w:eastAsia="Batang" w:hAnsi="Verdana"/>
          <w:sz w:val="20"/>
          <w:szCs w:val="20"/>
        </w:rPr>
        <w:t xml:space="preserve"> Acolhida a impugnação contra o instrumento convocatório, será definida e publicada nova data para a realização do certame.</w:t>
      </w:r>
    </w:p>
    <w:p w14:paraId="4638A80E"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lastRenderedPageBreak/>
        <w:t>5.2</w:t>
      </w:r>
      <w:r>
        <w:rPr>
          <w:rFonts w:ascii="Verdana" w:eastAsia="Batang" w:hAnsi="Verdana"/>
          <w:sz w:val="20"/>
          <w:szCs w:val="20"/>
        </w:rPr>
        <w:t>.</w:t>
      </w:r>
      <w:r>
        <w:rPr>
          <w:rFonts w:ascii="Verdana" w:eastAsia="Batang" w:hAnsi="Verdana"/>
          <w:b/>
          <w:bCs/>
          <w:sz w:val="20"/>
          <w:szCs w:val="20"/>
        </w:rPr>
        <w:t>4 -</w:t>
      </w:r>
      <w:r>
        <w:rPr>
          <w:rFonts w:ascii="Verdana" w:eastAsia="Batang" w:hAnsi="Verdana"/>
          <w:sz w:val="20"/>
          <w:szCs w:val="20"/>
        </w:rPr>
        <w:t xml:space="preserve"> As respostas aos pedidos de esclarecimentos e impugnações serão divulgadas no https://saogabriel.es.gov.br/licitacoes e no Sistema de Compras do Governo Federal (www.gov.br/compras), e vincularão os participantes e a Administração.</w:t>
      </w:r>
    </w:p>
    <w:p w14:paraId="0693F23D" w14:textId="77777777" w:rsidR="007E48E9" w:rsidRDefault="007E48E9">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rPr>
          <w:rFonts w:ascii="Verdana" w:eastAsia="Batang" w:hAnsi="Verdana"/>
          <w:b/>
          <w:sz w:val="20"/>
          <w:szCs w:val="20"/>
        </w:rPr>
      </w:pPr>
    </w:p>
    <w:p w14:paraId="74C0B6C5" w14:textId="77777777" w:rsidR="007E48E9" w:rsidRDefault="00000000">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rPr>
          <w:rFonts w:ascii="Verdana" w:hAnsi="Verdana"/>
          <w:sz w:val="20"/>
          <w:szCs w:val="20"/>
        </w:rPr>
      </w:pPr>
      <w:r>
        <w:rPr>
          <w:rFonts w:ascii="Verdana" w:eastAsia="Batang" w:hAnsi="Verdana"/>
          <w:b/>
          <w:sz w:val="20"/>
          <w:szCs w:val="20"/>
        </w:rPr>
        <w:t>VI – CONDIÇÕES DE PARTICIPAÇÃO</w:t>
      </w:r>
    </w:p>
    <w:p w14:paraId="20308EA4"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6.1 –</w:t>
      </w:r>
      <w:r>
        <w:rPr>
          <w:rFonts w:ascii="Verdana" w:eastAsia="Batang" w:hAnsi="Verdana"/>
          <w:sz w:val="20"/>
          <w:szCs w:val="20"/>
        </w:rPr>
        <w:t xml:space="preserve"> Poderão participar deste pregão eletrônico somente os interessados cujo ramo de atividade seja compatível com o objeto desta licitação, conforme disposto nos respectivos atos constitutivos, que atenderem todas as exigências, inclusive quanto à documentação, constantes deste edital e seus anexos.</w:t>
      </w:r>
    </w:p>
    <w:p w14:paraId="01DCF2CA"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6.2 –</w:t>
      </w:r>
      <w:r>
        <w:rPr>
          <w:rFonts w:ascii="Verdana" w:eastAsia="Batang" w:hAnsi="Verdana"/>
          <w:sz w:val="20"/>
          <w:szCs w:val="20"/>
        </w:rPr>
        <w:t xml:space="preserve"> Estarão impedidos de participar de quaisquer fases do certame, interessados que se enquadrem em uma ou mais das situações a seguir:</w:t>
      </w:r>
    </w:p>
    <w:p w14:paraId="145ACE42"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a)</w:t>
      </w:r>
      <w:r>
        <w:rPr>
          <w:rFonts w:ascii="Verdana" w:eastAsia="Batang" w:hAnsi="Verdana"/>
          <w:sz w:val="20"/>
          <w:szCs w:val="20"/>
        </w:rPr>
        <w:t xml:space="preserve"> estejam cumprindo penalidade de suspensão temporária imposta pela Administração Pública, direta e indireta, em face da hipótese prevista no inciso III do Art. 156, da Lei nº 14.133/2021;</w:t>
      </w:r>
    </w:p>
    <w:p w14:paraId="7AA76728"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b)</w:t>
      </w:r>
      <w:r>
        <w:rPr>
          <w:rFonts w:ascii="Verdana" w:eastAsia="Batang" w:hAnsi="Verdana"/>
          <w:sz w:val="20"/>
          <w:szCs w:val="20"/>
        </w:rPr>
        <w:t xml:space="preserve"> sejam declaradas inidôneas em qualquer esfera de Governo, em face da hipótese prevista no inciso IV do Art. 156, da Lei nº 14.133/2021;</w:t>
      </w:r>
    </w:p>
    <w:p w14:paraId="032D6EAF"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c)</w:t>
      </w:r>
      <w:r>
        <w:rPr>
          <w:rFonts w:ascii="Verdana" w:eastAsia="Batang" w:hAnsi="Verdana"/>
          <w:sz w:val="20"/>
          <w:szCs w:val="20"/>
        </w:rPr>
        <w:t xml:space="preserve"> estejam enquadradas no disposto do Art. 14, da Lei nº 14.133/2021;</w:t>
      </w:r>
    </w:p>
    <w:p w14:paraId="00FBDA83"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d)</w:t>
      </w:r>
      <w:r>
        <w:rPr>
          <w:rFonts w:ascii="Verdana" w:eastAsia="Batang" w:hAnsi="Verdana"/>
          <w:sz w:val="20"/>
          <w:szCs w:val="20"/>
        </w:rPr>
        <w:t xml:space="preserve"> estrangeiros que não tenham representação legal no Brasil com poderes expressos para receber citação e responder administrativa ou judicialmente;</w:t>
      </w:r>
    </w:p>
    <w:p w14:paraId="58FA8A24"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e)</w:t>
      </w:r>
      <w:r>
        <w:rPr>
          <w:rFonts w:ascii="Verdana" w:eastAsia="Batang" w:hAnsi="Verdana"/>
          <w:sz w:val="20"/>
          <w:szCs w:val="20"/>
        </w:rPr>
        <w:t xml:space="preserve"> que não se qualifiquem como microempresas, empresas de pequeno porte ou equiparadas, no caso de licitações ou lotes exclusivos fundamentados no art. 48, incisos I e III da Lei Complementar nº 123, de 2006;</w:t>
      </w:r>
    </w:p>
    <w:p w14:paraId="1E925A8B"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f)</w:t>
      </w:r>
      <w:r>
        <w:rPr>
          <w:rFonts w:ascii="Verdana" w:eastAsia="Batang" w:hAnsi="Verdana"/>
          <w:sz w:val="20"/>
          <w:szCs w:val="20"/>
        </w:rPr>
        <w:t xml:space="preserve"> que, embora qualificadas como microempresas, empresas de pequeno porte ou microempreendedor individual, incidam em qualquer das vedações do artigo 3°, parágrafo 4°, da Lei Complementar nº 123, de 2006 no caso de licitações ou lotes exclusivos fundamentados no art. 48, incisos I e III da Lei Complementar nº 123, de 2006;</w:t>
      </w:r>
    </w:p>
    <w:p w14:paraId="6FA85A90"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6.3 -</w:t>
      </w:r>
      <w:r>
        <w:rPr>
          <w:rFonts w:ascii="Verdana" w:eastAsia="Batang" w:hAnsi="Verdana"/>
          <w:sz w:val="20"/>
          <w:szCs w:val="20"/>
        </w:rPr>
        <w:t xml:space="preserve"> Para a participação de CONSÓRCIOS deverão ser atendidas as condições previstas no Art. 15 da Lei nº 14.133/2021.</w:t>
      </w:r>
    </w:p>
    <w:p w14:paraId="28A73EE0"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6.3.1 -</w:t>
      </w:r>
      <w:r>
        <w:rPr>
          <w:rFonts w:ascii="Verdana" w:eastAsia="Batang" w:hAnsi="Verdana"/>
          <w:sz w:val="20"/>
          <w:szCs w:val="20"/>
        </w:rPr>
        <w:t xml:space="preserve"> Não poderá participar do consórcio pessoa física ou jurídica que tenha sido indicada, nesta mesma licitação, como subcontratada de outra licitante, quando assim for permitido.</w:t>
      </w:r>
    </w:p>
    <w:p w14:paraId="3323D4E4"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6.3.2 -</w:t>
      </w:r>
      <w:r>
        <w:rPr>
          <w:rFonts w:ascii="Verdana" w:eastAsia="Batang" w:hAnsi="Verdana"/>
          <w:sz w:val="20"/>
          <w:szCs w:val="20"/>
        </w:rPr>
        <w:t xml:space="preserve"> A empresa integrante de consórcio não poderá participar isoladamente ou em mais de um consórcio, na mesma licitação. Também estará impedida empresa ou firma na qual figure, entre seus diretores, responsáveis técnicos ou sócios, pessoa que seja funcionário, diretor, responsável técnico ou sócio de empresa consorciada.</w:t>
      </w:r>
    </w:p>
    <w:p w14:paraId="00AB0D8B"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6.3.3 -</w:t>
      </w:r>
      <w:r>
        <w:rPr>
          <w:rFonts w:ascii="Verdana" w:eastAsia="Batang" w:hAnsi="Verdana"/>
          <w:sz w:val="20"/>
          <w:szCs w:val="20"/>
        </w:rPr>
        <w:t xml:space="preserve"> No caso da participação de consórcios, serão exigidas as comprovações de Habilitação de cada uma das empresas participantes do consórcio, admitindo-se, para efeito de qualificação técnica, o somatório dos quantitativos de cada consorciado e, para efeito de habilitação econômico-financeira, do somatório dos valores de cada consorciado, na forma e nos limites previstos no art. 15 da Lei nº 14.133/21;</w:t>
      </w:r>
    </w:p>
    <w:p w14:paraId="3D333163"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6.3.4 -</w:t>
      </w:r>
      <w:r>
        <w:rPr>
          <w:rFonts w:ascii="Verdana" w:eastAsia="Batang" w:hAnsi="Verdana"/>
          <w:sz w:val="20"/>
          <w:szCs w:val="20"/>
        </w:rPr>
        <w:t xml:space="preserve"> As Pessoas Jurídicas que participarem em consórcio deverão apresentar, além dos documentos exigidos neste Edital, o TERMO DE COMPROMISSO DE CONSTITUIÇÃO DO CONSÓRCIO, por escritura pública ou documento particular subscrito por todas, que deverá atender aos seguintes critérios, sob pena de desclassificação:</w:t>
      </w:r>
    </w:p>
    <w:p w14:paraId="6FFA7D07"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a)</w:t>
      </w:r>
      <w:r>
        <w:rPr>
          <w:rFonts w:ascii="Verdana" w:eastAsia="Batang" w:hAnsi="Verdana"/>
          <w:sz w:val="20"/>
          <w:szCs w:val="20"/>
        </w:rPr>
        <w:t xml:space="preserve"> A designação do consórcio, a indicação da participação nesta licitação e execução do contrato dela decorrente como seu objeto e o endereço em que está estabelecido;</w:t>
      </w:r>
    </w:p>
    <w:p w14:paraId="779B6795"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lastRenderedPageBreak/>
        <w:t>b)</w:t>
      </w:r>
      <w:r>
        <w:rPr>
          <w:rFonts w:ascii="Verdana" w:eastAsia="Batang" w:hAnsi="Verdana"/>
          <w:sz w:val="20"/>
          <w:szCs w:val="20"/>
        </w:rPr>
        <w:t xml:space="preserve"> A qualificação das empresas participantes e a forma de composição do consórcio, indicando o percentual de participação de cada uma na execução do objeto licitado;</w:t>
      </w:r>
    </w:p>
    <w:p w14:paraId="1FE1AAA7"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c)</w:t>
      </w:r>
      <w:r>
        <w:rPr>
          <w:rFonts w:ascii="Verdana" w:eastAsia="Batang" w:hAnsi="Verdana"/>
          <w:sz w:val="20"/>
          <w:szCs w:val="20"/>
        </w:rPr>
        <w:t xml:space="preserve"> Discriminar a empresa líder;</w:t>
      </w:r>
    </w:p>
    <w:p w14:paraId="2F5C9552"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d)</w:t>
      </w:r>
      <w:r>
        <w:rPr>
          <w:rFonts w:ascii="Verdana" w:eastAsia="Batang" w:hAnsi="Verdana"/>
          <w:sz w:val="20"/>
          <w:szCs w:val="20"/>
        </w:rPr>
        <w:t xml:space="preserve"> Detalhar a participação, as obrigações e a responsabilidade solidária de cada consorciado pelos atos praticados por qualquer deles tanto na fase de licitação quanto na de execução do contrato;</w:t>
      </w:r>
    </w:p>
    <w:p w14:paraId="0DD93DAA"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e)</w:t>
      </w:r>
      <w:r>
        <w:rPr>
          <w:rFonts w:ascii="Verdana" w:eastAsia="Batang" w:hAnsi="Verdana"/>
          <w:sz w:val="20"/>
          <w:szCs w:val="20"/>
        </w:rPr>
        <w:t xml:space="preserve"> Declarar que o consórcio não se constitui, nem se constituirá, em pessoa jurídica distinta da de seus membros, nem terá denominação própria ou diferente de seus consorciados.</w:t>
      </w:r>
    </w:p>
    <w:p w14:paraId="621F5230"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6.3.5 -</w:t>
      </w:r>
      <w:r>
        <w:rPr>
          <w:rFonts w:ascii="Verdana" w:eastAsia="Batang" w:hAnsi="Verdana"/>
          <w:sz w:val="20"/>
          <w:szCs w:val="20"/>
        </w:rPr>
        <w:t xml:space="preserve"> A empresa líder será a responsável pela realização dos atos que cumpram ao consórcio, assim como por representar o consórcio junto ao órgão licitante.</w:t>
      </w:r>
    </w:p>
    <w:p w14:paraId="66A0D473"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6.3.6 -</w:t>
      </w:r>
      <w:r>
        <w:rPr>
          <w:rFonts w:ascii="Verdana" w:eastAsia="Batang" w:hAnsi="Verdana"/>
          <w:sz w:val="20"/>
          <w:szCs w:val="20"/>
        </w:rPr>
        <w:t xml:space="preserve"> Os integrantes do consórcio respondem solidariamente pelos atos praticados pelo consórcio, tanto na fase de licitação quanto na de execução do contrato.</w:t>
      </w:r>
    </w:p>
    <w:p w14:paraId="430337E3"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6.3.7 -</w:t>
      </w:r>
      <w:r>
        <w:rPr>
          <w:rFonts w:ascii="Verdana" w:eastAsia="Batang" w:hAnsi="Verdana"/>
          <w:sz w:val="20"/>
          <w:szCs w:val="20"/>
        </w:rPr>
        <w:t xml:space="preserve"> Não será permitida a modificação da composição do consórcio ou a substituição de consorciado até a conclusão do objeto do certame, ressalvada, se permanecerem as condições de habilitação, a autorização expressa do órgão licitante.</w:t>
      </w:r>
    </w:p>
    <w:p w14:paraId="6D83DFD2"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6.3.8 -</w:t>
      </w:r>
      <w:r>
        <w:rPr>
          <w:rFonts w:ascii="Verdana" w:eastAsia="Batang" w:hAnsi="Verdana"/>
          <w:sz w:val="20"/>
          <w:szCs w:val="20"/>
        </w:rPr>
        <w:t xml:space="preserve"> O Licitante vencedor, se constituído sob a forma de consórcio, deverá apresentar, antes da celebração do contrato, a constituição e o registro do consórcio, nos termos do Termo de Compromisso de Constituição do Consórcio.</w:t>
      </w:r>
    </w:p>
    <w:p w14:paraId="772E6BC1"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6.3.9 -</w:t>
      </w:r>
      <w:r>
        <w:rPr>
          <w:rFonts w:ascii="Verdana" w:eastAsia="Batang" w:hAnsi="Verdana"/>
          <w:sz w:val="20"/>
          <w:szCs w:val="20"/>
        </w:rPr>
        <w:t xml:space="preserve"> No caso de consórcio, para atendimento ao EFD-REINF, da Receita Federal, para fins de recebimento junto ao Órgão, o Contrato deverá ser formalizado em nome do consórcio e o pagamento será realizado em conta bancária em nome do Consórcio. </w:t>
      </w:r>
    </w:p>
    <w:p w14:paraId="4AE8BDAE"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6.3.10</w:t>
      </w:r>
      <w:r>
        <w:rPr>
          <w:rFonts w:ascii="Verdana" w:eastAsia="Batang" w:hAnsi="Verdana"/>
          <w:sz w:val="20"/>
          <w:szCs w:val="20"/>
        </w:rPr>
        <w:t xml:space="preserve"> </w:t>
      </w:r>
      <w:r>
        <w:rPr>
          <w:rFonts w:ascii="Verdana" w:eastAsia="Batang" w:hAnsi="Verdana"/>
          <w:b/>
          <w:bCs/>
          <w:sz w:val="20"/>
          <w:szCs w:val="20"/>
        </w:rPr>
        <w:t>-</w:t>
      </w:r>
      <w:r>
        <w:rPr>
          <w:rFonts w:ascii="Verdana" w:eastAsia="Batang" w:hAnsi="Verdana"/>
          <w:sz w:val="20"/>
          <w:szCs w:val="20"/>
        </w:rPr>
        <w:t xml:space="preserve"> No consórcio entre empresas brasileiras e estrangeiras a liderança caberá, obrigatoriamente, à empresa brasileira.</w:t>
      </w:r>
    </w:p>
    <w:p w14:paraId="5DC18BB5"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6.4 -</w:t>
      </w:r>
      <w:r>
        <w:rPr>
          <w:rFonts w:ascii="Verdana" w:eastAsia="Batang" w:hAnsi="Verdana"/>
          <w:sz w:val="20"/>
          <w:szCs w:val="20"/>
        </w:rPr>
        <w:t xml:space="preserve"> A observância das vedações do item anterior é de inteira responsabilidade do licitante que, pelo descumprimento, fica sujeito à desclassificação no certame e às penalidades cabíveis.</w:t>
      </w:r>
    </w:p>
    <w:p w14:paraId="6519943D"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6.5 -</w:t>
      </w:r>
      <w:r>
        <w:rPr>
          <w:rFonts w:ascii="Verdana" w:eastAsia="Batang" w:hAnsi="Verdana"/>
          <w:sz w:val="20"/>
          <w:szCs w:val="20"/>
        </w:rPr>
        <w:t xml:space="preserve"> O Pregoeiro poderá promover diligências para averiguar a veracidade das informações constantes nos documentos apresentados pelas empresas licitantes acerca das condições de participação.</w:t>
      </w:r>
    </w:p>
    <w:p w14:paraId="2158E12C"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6.6 -</w:t>
      </w:r>
      <w:r>
        <w:rPr>
          <w:rFonts w:ascii="Verdana" w:eastAsia="Batang" w:hAnsi="Verdana"/>
          <w:sz w:val="20"/>
          <w:szCs w:val="20"/>
        </w:rPr>
        <w:t xml:space="preserve"> As diligências promovidas pelo Pregoeiro poderão envolver a solicitação de outros documentos e informações para a tomada de decisão.</w:t>
      </w:r>
    </w:p>
    <w:p w14:paraId="69C315DF"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6.7 -</w:t>
      </w:r>
      <w:r>
        <w:rPr>
          <w:rFonts w:ascii="Verdana" w:eastAsia="Batang" w:hAnsi="Verdana"/>
          <w:sz w:val="20"/>
          <w:szCs w:val="20"/>
        </w:rPr>
        <w:t xml:space="preserve"> A apresentação da proposta implica plena aceitação, por parte do licitante, das condições estabelecidas neste edital e seus anexos, bem como obrigatoriedade do cumprimento das disposições nela contidas, assumindo o proponente o compromisso de executar a contratação nos termos propostos.</w:t>
      </w:r>
    </w:p>
    <w:p w14:paraId="7C2AF163"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6.8 -</w:t>
      </w:r>
      <w:r>
        <w:rPr>
          <w:rFonts w:ascii="Verdana" w:eastAsia="Batang" w:hAnsi="Verdana"/>
          <w:sz w:val="20"/>
          <w:szCs w:val="20"/>
        </w:rPr>
        <w:t xml:space="preserve"> Todos os avisos relativos aos atos praticados durante o procedimento licitatório serão efetuados pelo Pregoeiro aos licitantes por meio do campo de mensagens do Sistema de Compras do Governo Federal (www.gov.br/compras), ficando sob inteira responsabilidade do licitante acompanhar o trâmite do certame.</w:t>
      </w:r>
    </w:p>
    <w:p w14:paraId="167B59F4" w14:textId="77777777" w:rsidR="007E48E9" w:rsidRDefault="00000000">
      <w:pPr>
        <w:spacing w:before="57" w:after="57" w:line="276" w:lineRule="auto"/>
        <w:jc w:val="both"/>
        <w:rPr>
          <w:rFonts w:ascii="Verdana" w:hAnsi="Verdana"/>
          <w:sz w:val="20"/>
          <w:szCs w:val="20"/>
        </w:rPr>
      </w:pPr>
      <w:r>
        <w:rPr>
          <w:rFonts w:ascii="Verdana" w:hAnsi="Verdana"/>
          <w:b/>
          <w:sz w:val="20"/>
          <w:szCs w:val="20"/>
          <w:u w:val="single"/>
        </w:rPr>
        <w:t>6.9 – Este Pregão não ocorrerá com exclusividade para as Microempresas e Empresas de Pequeno Porte, haja vista a inexistência dos requisitos mínimos, conforme os Artigos 48 e 49 da Lei Complementar nº 123/2006.</w:t>
      </w:r>
    </w:p>
    <w:p w14:paraId="1536AA34" w14:textId="77777777" w:rsidR="007E48E9" w:rsidRDefault="007E48E9">
      <w:pPr>
        <w:spacing w:before="57" w:after="57" w:line="276" w:lineRule="auto"/>
        <w:jc w:val="both"/>
        <w:rPr>
          <w:rFonts w:ascii="Verdana" w:hAnsi="Verdana"/>
          <w:sz w:val="20"/>
          <w:szCs w:val="20"/>
        </w:rPr>
      </w:pPr>
    </w:p>
    <w:p w14:paraId="6D2C4815" w14:textId="77777777" w:rsidR="007E48E9" w:rsidRDefault="00000000">
      <w:pPr>
        <w:pBdr>
          <w:bottom w:val="double" w:sz="4" w:space="1" w:color="000000"/>
        </w:pBdr>
        <w:tabs>
          <w:tab w:val="left" w:pos="0"/>
          <w:tab w:val="left" w:pos="1026"/>
          <w:tab w:val="left" w:pos="1812"/>
          <w:tab w:val="left" w:pos="2466"/>
          <w:tab w:val="left" w:pos="3451"/>
        </w:tabs>
        <w:spacing w:before="57" w:after="57" w:line="276" w:lineRule="auto"/>
        <w:rPr>
          <w:rFonts w:ascii="Verdana" w:hAnsi="Verdana"/>
          <w:sz w:val="20"/>
          <w:szCs w:val="20"/>
        </w:rPr>
      </w:pPr>
      <w:r>
        <w:rPr>
          <w:rFonts w:ascii="Verdana" w:eastAsia="Batang" w:hAnsi="Verdana"/>
          <w:b/>
          <w:sz w:val="20"/>
          <w:szCs w:val="20"/>
        </w:rPr>
        <w:t>VII – DAS OBRIGAÇÕES DOS LICITANTES E REQUISITOS DE CREDENCIAMENTO</w:t>
      </w:r>
      <w:r>
        <w:rPr>
          <w:rFonts w:ascii="Verdana" w:eastAsia="Batang" w:hAnsi="Verdana"/>
          <w:b/>
          <w:sz w:val="20"/>
          <w:szCs w:val="20"/>
        </w:rPr>
        <w:tab/>
      </w:r>
    </w:p>
    <w:p w14:paraId="56D63A80"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sz w:val="20"/>
          <w:szCs w:val="20"/>
        </w:rPr>
        <w:t>7.1 –</w:t>
      </w:r>
      <w:r>
        <w:rPr>
          <w:rFonts w:ascii="Verdana" w:eastAsia="Batang" w:hAnsi="Verdana"/>
          <w:sz w:val="20"/>
          <w:szCs w:val="20"/>
        </w:rPr>
        <w:t xml:space="preserve"> Compete ao licitante interessado em participar do pregão eletrônico:</w:t>
      </w:r>
    </w:p>
    <w:p w14:paraId="738F177D"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lastRenderedPageBreak/>
        <w:t>7.1.1 –</w:t>
      </w:r>
      <w:r>
        <w:rPr>
          <w:rFonts w:ascii="Verdana" w:eastAsia="Batang" w:hAnsi="Verdana"/>
          <w:sz w:val="20"/>
          <w:szCs w:val="20"/>
        </w:rPr>
        <w:t xml:space="preserve"> Estar previamente credenciados no Sistema de Cadastramento Unificado de Fornecedores - SICAF e no Sistema de Compras do Governo Federal (www.gov.br/compras), no prazo mínimo de 24 (vinte e quatro) horas antes da data de realização da sessão pública;</w:t>
      </w:r>
    </w:p>
    <w:p w14:paraId="53851231"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7.1.2 -</w:t>
      </w:r>
      <w:r>
        <w:rPr>
          <w:rFonts w:ascii="Verdana" w:eastAsia="Batang" w:hAnsi="Verdana"/>
          <w:sz w:val="20"/>
          <w:szCs w:val="20"/>
        </w:rPr>
        <w:t xml:space="preserve"> Informar-se a respeito do funcionamento e regulamento do Sistema de Compras do Governo Federal (www.gov.br/compras), como também receber instruções detalhadas para sua correta utilização;</w:t>
      </w:r>
    </w:p>
    <w:p w14:paraId="3317BE57"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7.1.3 -</w:t>
      </w:r>
      <w:r>
        <w:rPr>
          <w:rFonts w:ascii="Verdana" w:eastAsia="Batang" w:hAnsi="Verdana"/>
          <w:sz w:val="20"/>
          <w:szCs w:val="20"/>
        </w:rPr>
        <w:t xml:space="preserve"> Remeter, no prazo estabelecido por este edital, exclusivamente via sistema, a proposta e os documentos de habilitação e, quando necessário, os documentos complementares;</w:t>
      </w:r>
    </w:p>
    <w:p w14:paraId="30EDCF98"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7.1.4 -</w:t>
      </w:r>
      <w:r>
        <w:rPr>
          <w:rFonts w:ascii="Verdana" w:eastAsia="Batang" w:hAnsi="Verdana"/>
          <w:sz w:val="20"/>
          <w:szCs w:val="20"/>
        </w:rPr>
        <w:t xml:space="preserve"> Responsabilizar-se formalmente pelas negociações efetuadas em seu nome, assumindo suas propostas e seus lances, inclusive os atos praticados diretamente ou por seu representante, excluída a responsabilidade do provedor do sistema ou da Caixa de Assistência dos Servidores Públicos Municipais de São Gabriel da Palha por eventuais danos decorrentes de uso indevido da senha, ainda que por terceiros;</w:t>
      </w:r>
    </w:p>
    <w:p w14:paraId="2E41D8B4"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7.1.5 -</w:t>
      </w:r>
      <w:r>
        <w:rPr>
          <w:rFonts w:ascii="Verdana" w:eastAsia="Batang" w:hAnsi="Verdana"/>
          <w:sz w:val="20"/>
          <w:szCs w:val="20"/>
        </w:rPr>
        <w:t xml:space="preserve"> Acompanhar as operações no sistema eletrônico durante o processo licitatório e responsabilizar-se pelo ônus decorrente da perda de negócios diante da inobservância de mensagens emitidas pelo sistema ou de sua desconexão;</w:t>
      </w:r>
    </w:p>
    <w:p w14:paraId="2F234D1B"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7.1.6 -</w:t>
      </w:r>
      <w:r>
        <w:rPr>
          <w:rFonts w:ascii="Verdana" w:eastAsia="Batang" w:hAnsi="Verdana"/>
          <w:sz w:val="20"/>
          <w:szCs w:val="20"/>
        </w:rPr>
        <w:t xml:space="preserve"> Comunicar imediatamente ao provedor do sistema qualquer acontecimento que possa comprometer o sigilo ou a inviabilidade do uso da chave de identificação/senha, para imediato bloqueio de acesso;</w:t>
      </w:r>
    </w:p>
    <w:p w14:paraId="7851C4DF"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7.1.7 -</w:t>
      </w:r>
      <w:r>
        <w:rPr>
          <w:rFonts w:ascii="Verdana" w:eastAsia="Batang" w:hAnsi="Verdana"/>
          <w:sz w:val="20"/>
          <w:szCs w:val="20"/>
        </w:rPr>
        <w:t xml:space="preserve"> Utilizar-se da chave de identificação (login) e da senha de acesso para participar do pregão na forma eletrônica;</w:t>
      </w:r>
    </w:p>
    <w:p w14:paraId="73FA8476"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7.1.8 -</w:t>
      </w:r>
      <w:r>
        <w:rPr>
          <w:rFonts w:ascii="Verdana" w:eastAsia="Batang" w:hAnsi="Verdana"/>
          <w:sz w:val="20"/>
          <w:szCs w:val="20"/>
        </w:rPr>
        <w:t xml:space="preserve"> Solicitar o cancelamento da chave de identificação (login) ou da senha de acesso por interesse próprio;</w:t>
      </w:r>
    </w:p>
    <w:p w14:paraId="6CB8A0F8"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7.1.9 -</w:t>
      </w:r>
      <w:r>
        <w:rPr>
          <w:rFonts w:ascii="Verdana" w:eastAsia="Batang" w:hAnsi="Verdana"/>
          <w:sz w:val="20"/>
          <w:szCs w:val="20"/>
        </w:rPr>
        <w:t xml:space="preserve"> Manter o endereço atualizado de correio eletrônico, bem como se submeter às exigências da legislação pertinente, em especial da Lei nº 14.133/2021, assim como aos termos de participação e condições de contratação constantes neste instrumento convocatório.</w:t>
      </w:r>
    </w:p>
    <w:p w14:paraId="02043EE9" w14:textId="77777777" w:rsidR="007E48E9" w:rsidRDefault="007E48E9">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eastAsia="Batang" w:hAnsi="Verdana"/>
          <w:b/>
          <w:sz w:val="20"/>
          <w:szCs w:val="20"/>
        </w:rPr>
      </w:pPr>
    </w:p>
    <w:p w14:paraId="77EE2B03" w14:textId="77777777" w:rsidR="007E48E9"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hAnsi="Verdana"/>
          <w:sz w:val="20"/>
          <w:szCs w:val="20"/>
        </w:rPr>
      </w:pPr>
      <w:r>
        <w:rPr>
          <w:rFonts w:ascii="Verdana" w:eastAsia="Batang" w:hAnsi="Verdana"/>
          <w:b/>
          <w:sz w:val="20"/>
          <w:szCs w:val="20"/>
        </w:rPr>
        <w:t>VIII – DA APRESENTAÇÃO DA PROPOSTA E DOS DOCUMENTOS DE HABILITAÇÃO</w:t>
      </w:r>
    </w:p>
    <w:p w14:paraId="06F4FF0B" w14:textId="77777777" w:rsidR="007E48E9" w:rsidRDefault="00000000">
      <w:pPr>
        <w:spacing w:before="57" w:after="57" w:line="276" w:lineRule="auto"/>
        <w:jc w:val="both"/>
        <w:rPr>
          <w:rFonts w:ascii="Verdana" w:hAnsi="Verdana"/>
          <w:sz w:val="20"/>
          <w:szCs w:val="20"/>
        </w:rPr>
      </w:pPr>
      <w:r>
        <w:rPr>
          <w:rFonts w:ascii="Verdana" w:hAnsi="Verdana"/>
          <w:b/>
          <w:sz w:val="20"/>
          <w:szCs w:val="20"/>
        </w:rPr>
        <w:t>8.1 –</w:t>
      </w:r>
      <w:r>
        <w:rPr>
          <w:rFonts w:ascii="Verdana" w:hAnsi="Verdana"/>
          <w:sz w:val="20"/>
          <w:szCs w:val="20"/>
        </w:rPr>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p>
    <w:p w14:paraId="7FE8F13B"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8.1.1 -</w:t>
      </w:r>
      <w:r>
        <w:rPr>
          <w:rFonts w:ascii="Verdana" w:eastAsia="Batang" w:hAnsi="Verdana"/>
          <w:sz w:val="20"/>
          <w:szCs w:val="20"/>
        </w:rPr>
        <w:t xml:space="preserve"> Os licitantes deverão apresentar os documentos sob a forma exclusivamente eletrônica, devidamente assinados mediante assinatura digital, com tecnologia conforme chaves ICP-Brasil.</w:t>
      </w:r>
    </w:p>
    <w:p w14:paraId="267B5308"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8.2 –</w:t>
      </w:r>
      <w:r>
        <w:rPr>
          <w:rFonts w:ascii="Verdana" w:eastAsia="Batang" w:hAnsi="Verdana"/>
          <w:sz w:val="20"/>
          <w:szCs w:val="20"/>
        </w:rPr>
        <w:t xml:space="preserve"> No cadastramento da proposta inicial, o licitante declarará, em campo próprio do sistema, que:</w:t>
      </w:r>
    </w:p>
    <w:p w14:paraId="642D1147"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8.2.1 –</w:t>
      </w:r>
      <w:r>
        <w:rPr>
          <w:rFonts w:ascii="Verdana" w:eastAsia="Batang" w:hAnsi="Verdana"/>
          <w:sz w:val="20"/>
          <w:szCs w:val="2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14:paraId="2FFCB38D"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lastRenderedPageBreak/>
        <w:t>8.2.2 –</w:t>
      </w:r>
      <w:r>
        <w:rPr>
          <w:rFonts w:ascii="Verdana" w:eastAsia="Batang" w:hAnsi="Verdana"/>
          <w:sz w:val="20"/>
          <w:szCs w:val="20"/>
        </w:rPr>
        <w:t xml:space="preserve"> Não emprega menor de 18 anos em trabalho noturno, perigoso ou insalubre e não emprega menor de 16 anos, salvo menor, a partir de 14 anos, na condição de aprendiz, nos termos do artigo 7°, XXXIII, da Constituição;</w:t>
      </w:r>
    </w:p>
    <w:p w14:paraId="0C80EB23"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8.2.3 –</w:t>
      </w:r>
      <w:r>
        <w:rPr>
          <w:rFonts w:ascii="Verdana" w:eastAsia="Batang" w:hAnsi="Verdana"/>
          <w:sz w:val="20"/>
          <w:szCs w:val="20"/>
        </w:rPr>
        <w:t xml:space="preserve"> Não possui empregados executando trabalho degradante ou forçado, observando o disposto nos incisos III e IV do art. 1º e no inciso III do art. 5º da Constituição Federal;</w:t>
      </w:r>
    </w:p>
    <w:p w14:paraId="48C9590F"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8.2.4</w:t>
      </w:r>
      <w:r>
        <w:rPr>
          <w:rFonts w:ascii="Verdana" w:eastAsia="Batang" w:hAnsi="Verdana"/>
          <w:sz w:val="20"/>
          <w:szCs w:val="20"/>
        </w:rPr>
        <w:t xml:space="preserve"> – Cumpre as exigências de reserva de cargos para pessoa com deficiência e para reabilitado da Previdência Social, previstas em lei e em outras normas específicas.</w:t>
      </w:r>
    </w:p>
    <w:p w14:paraId="6F6A68E4"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8.3 –</w:t>
      </w:r>
      <w:r>
        <w:rPr>
          <w:rFonts w:ascii="Verdana" w:eastAsia="Batang" w:hAnsi="Verdana"/>
          <w:sz w:val="20"/>
          <w:szCs w:val="20"/>
        </w:rPr>
        <w:t xml:space="preserve"> O fornecedor enquadrado como microempresa ou empresa de pequeno porte deverá declarar, ainda, em campo próprio do sistema eletrônico, que cumpre os requisitos estabelecidos no artigo 3° da Lei Complementar nº 123, de 2006, estando apto a usufruir do tratamento favorecido estabelecido em seus </w:t>
      </w:r>
      <w:proofErr w:type="spellStart"/>
      <w:r>
        <w:rPr>
          <w:rFonts w:ascii="Verdana" w:eastAsia="Batang" w:hAnsi="Verdana"/>
          <w:sz w:val="20"/>
          <w:szCs w:val="20"/>
        </w:rPr>
        <w:t>arts</w:t>
      </w:r>
      <w:proofErr w:type="spellEnd"/>
      <w:r>
        <w:rPr>
          <w:rFonts w:ascii="Verdana" w:eastAsia="Batang" w:hAnsi="Verdana"/>
          <w:sz w:val="20"/>
          <w:szCs w:val="20"/>
        </w:rPr>
        <w:t>. 42 a 49, observado o disposto nos §§ 1º ao 3º do art. 4º, da Lei n.º 14.133, de 2021.</w:t>
      </w:r>
    </w:p>
    <w:p w14:paraId="6046E7DD"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8.3.1 –</w:t>
      </w:r>
      <w:r>
        <w:rPr>
          <w:rFonts w:ascii="Verdana" w:eastAsia="Batang" w:hAnsi="Verdana"/>
          <w:sz w:val="20"/>
          <w:szCs w:val="20"/>
        </w:rPr>
        <w:t xml:space="preserve"> Caso tenha item exclusivo para participação de microempresas e empresas de pequeno porte, a assinalação do campo “não” impedirá o prosseguimento no certame, para aquele item;</w:t>
      </w:r>
    </w:p>
    <w:p w14:paraId="1B39FF00"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8.3.2 –</w:t>
      </w:r>
      <w:r>
        <w:rPr>
          <w:rFonts w:ascii="Verdana" w:eastAsia="Batang" w:hAnsi="Verdana"/>
          <w:sz w:val="20"/>
          <w:szCs w:val="20"/>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ou empresa de pequeno porte.</w:t>
      </w:r>
    </w:p>
    <w:p w14:paraId="1AF86431"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8.4 –</w:t>
      </w:r>
      <w:r>
        <w:rPr>
          <w:rFonts w:ascii="Verdana" w:eastAsia="Batang" w:hAnsi="Verdana"/>
          <w:sz w:val="20"/>
          <w:szCs w:val="20"/>
        </w:rPr>
        <w:t xml:space="preserve"> A falsidade da declaração de que trata os itens 8.2 e 8.3 sujeitará o licitante às sanções previstas na Lei nº 14.133, de 2021, e neste Edital.</w:t>
      </w:r>
    </w:p>
    <w:p w14:paraId="46286053"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8.5 –</w:t>
      </w:r>
      <w:r>
        <w:rPr>
          <w:rFonts w:ascii="Verdana" w:eastAsia="Batang" w:hAnsi="Verdana"/>
          <w:sz w:val="20"/>
          <w:szCs w:val="20"/>
        </w:rPr>
        <w:t xml:space="preserve"> Os licitantes poderão retirar ou substituir a proposta ou os documentos de habilitação anteriormente inseridos no sistema, até a abertura da sessão pública.</w:t>
      </w:r>
    </w:p>
    <w:p w14:paraId="160436A8"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8.6 –</w:t>
      </w:r>
      <w:r>
        <w:rPr>
          <w:rFonts w:ascii="Verdana" w:eastAsia="Batang" w:hAnsi="Verdana"/>
          <w:sz w:val="20"/>
          <w:szCs w:val="20"/>
        </w:rPr>
        <w:t xml:space="preserve"> Não haverá ordem de classificação na etapa de apresentação da proposta e dos documentos de habilitação pelo licitante, o que ocorrerá somente após os procedimentos de abertura da sessão pública e da fase de envio de lances.</w:t>
      </w:r>
    </w:p>
    <w:p w14:paraId="3AB19117"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8.7 –</w:t>
      </w:r>
      <w:r>
        <w:rPr>
          <w:rFonts w:ascii="Verdana" w:eastAsia="Batang" w:hAnsi="Verdana"/>
          <w:sz w:val="20"/>
          <w:szCs w:val="20"/>
        </w:rPr>
        <w:t xml:space="preserve"> Serão disponibilizados para acesso público os documentos que compõem a proposta dos licitantes convocados para apresentação de propostas, após a fase de envio de lances.</w:t>
      </w:r>
    </w:p>
    <w:p w14:paraId="4917F2D3"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8.8 –</w:t>
      </w:r>
      <w:r>
        <w:rPr>
          <w:rFonts w:ascii="Verdana" w:eastAsia="Batang" w:hAnsi="Verdana"/>
          <w:sz w:val="20"/>
          <w:szCs w:val="20"/>
        </w:rPr>
        <w:t xml:space="preserve"> Desde que disponibilizada a funcionalidade no sistema, o licitante poderá parametrizar o seu valor final mínimo ou o seu percentual de desconto máximo quando do cadastramento da proposta e obedecerá às seguintes regras:</w:t>
      </w:r>
    </w:p>
    <w:p w14:paraId="36CB6FD4"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8.8.1 –</w:t>
      </w:r>
      <w:r>
        <w:rPr>
          <w:rFonts w:ascii="Verdana" w:eastAsia="Batang" w:hAnsi="Verdana"/>
          <w:sz w:val="20"/>
          <w:szCs w:val="20"/>
        </w:rPr>
        <w:t xml:space="preserve"> A aplicação do intervalo mínimo de diferença de valores ou de percentuais entre os lances, que incidirá tanto em relação aos lances intermediários quanto em relação ao lance que cobrir a melhor oferta; e</w:t>
      </w:r>
    </w:p>
    <w:p w14:paraId="358DF66D"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8.8.2 –</w:t>
      </w:r>
      <w:r>
        <w:rPr>
          <w:rFonts w:ascii="Verdana" w:eastAsia="Batang" w:hAnsi="Verdana"/>
          <w:sz w:val="20"/>
          <w:szCs w:val="20"/>
        </w:rPr>
        <w:t xml:space="preserve"> Os lances serão de envio automático pelo sistema, respeitado o valor final mínimo, caso estabelecido, e o intervalo de que trata o subitem acima.</w:t>
      </w:r>
    </w:p>
    <w:p w14:paraId="22338858"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8.9 –</w:t>
      </w:r>
      <w:r>
        <w:rPr>
          <w:rFonts w:ascii="Verdana" w:eastAsia="Batang" w:hAnsi="Verdana"/>
          <w:sz w:val="20"/>
          <w:szCs w:val="20"/>
        </w:rPr>
        <w:t xml:space="preserve"> O valor final mínimo ou o percentual de desconto final máximo parametrizado no sistema poderá ser alterado pelo fornecedor durante a fase de disputa, sendo vedado:</w:t>
      </w:r>
    </w:p>
    <w:p w14:paraId="2E025C28"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8.9.1 –</w:t>
      </w:r>
      <w:r>
        <w:rPr>
          <w:rFonts w:ascii="Verdana" w:eastAsia="Batang" w:hAnsi="Verdana"/>
          <w:sz w:val="20"/>
          <w:szCs w:val="20"/>
        </w:rPr>
        <w:t xml:space="preserve"> Valor superior a lance já registrado pelo fornecedor no sistema, quando adotado o critério de julgamento por menor preço; e</w:t>
      </w:r>
    </w:p>
    <w:p w14:paraId="2B96293F"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8.9.2 –</w:t>
      </w:r>
      <w:r>
        <w:rPr>
          <w:rFonts w:ascii="Verdana" w:eastAsia="Batang" w:hAnsi="Verdana"/>
          <w:sz w:val="20"/>
          <w:szCs w:val="20"/>
        </w:rPr>
        <w:t xml:space="preserve"> Percentual de desconto inferior a lance já registrado pelo fornecedor no sistema, quando adotado o critério de julgamento por maior desconto.</w:t>
      </w:r>
    </w:p>
    <w:p w14:paraId="3AB93100"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8.10 –</w:t>
      </w:r>
      <w:r>
        <w:rPr>
          <w:rFonts w:ascii="Verdana" w:eastAsia="Batang" w:hAnsi="Verdana"/>
          <w:sz w:val="20"/>
          <w:szCs w:val="20"/>
        </w:rPr>
        <w:t xml:space="preserve"> O valor final mínimo ou o percentual de desconto final máximo parametrizado possuirá caráter sigiloso para os demais fornecedores e para o órgão ou entidade promotora da licitação, podendo ser disponibilizado estrita e permanentemente aos órgãos de controle externo e interno.</w:t>
      </w:r>
    </w:p>
    <w:p w14:paraId="6D99A20B"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lastRenderedPageBreak/>
        <w:t>8.11 –</w:t>
      </w:r>
      <w:r>
        <w:rPr>
          <w:rFonts w:ascii="Verdana" w:eastAsia="Batang" w:hAnsi="Verdana"/>
          <w:sz w:val="20"/>
          <w:szCs w:val="20"/>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9EA600E"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8.12 –</w:t>
      </w:r>
      <w:r>
        <w:rPr>
          <w:rFonts w:ascii="Verdana" w:eastAsia="Batang" w:hAnsi="Verdana"/>
          <w:sz w:val="20"/>
          <w:szCs w:val="20"/>
        </w:rPr>
        <w:t xml:space="preserve"> O licitante deverá comunicar imediatamente ao provedor do sistema qualquer acontecimento que possa comprometer o sigilo ou a segurança, para imediato bloqueio de acesso.</w:t>
      </w:r>
    </w:p>
    <w:p w14:paraId="6F73CDD4"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8.13 -</w:t>
      </w:r>
      <w:r>
        <w:rPr>
          <w:rFonts w:ascii="Verdana" w:eastAsia="Batang" w:hAnsi="Verdana"/>
          <w:sz w:val="20"/>
          <w:szCs w:val="20"/>
        </w:rPr>
        <w:t xml:space="preserve"> O envio da proposta, acompanhada dos documentos de habilitação exigidos neste edital, ocorrerá por meio de chave de acesso e senha.</w:t>
      </w:r>
    </w:p>
    <w:p w14:paraId="48AC2890"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8.13.1 –</w:t>
      </w:r>
      <w:r>
        <w:rPr>
          <w:rFonts w:ascii="Verdana" w:eastAsia="Batang" w:hAnsi="Verdana"/>
          <w:sz w:val="20"/>
          <w:szCs w:val="20"/>
        </w:rPr>
        <w:t xml:space="preserve"> O Licitante deverá enviar sua proposta comercial preliminar mediante o preenchimento, no sistema provedor, dos seguintes campos:</w:t>
      </w:r>
    </w:p>
    <w:p w14:paraId="0F9D018B"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a)</w:t>
      </w:r>
      <w:r>
        <w:rPr>
          <w:rFonts w:ascii="Verdana" w:eastAsia="Batang" w:hAnsi="Verdana"/>
          <w:sz w:val="20"/>
          <w:szCs w:val="20"/>
        </w:rPr>
        <w:t xml:space="preserve"> Valor unitário e total do item;</w:t>
      </w:r>
    </w:p>
    <w:p w14:paraId="1550F42F"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8.13.2 –</w:t>
      </w:r>
      <w:r>
        <w:rPr>
          <w:rFonts w:ascii="Verdana" w:eastAsia="Batang" w:hAnsi="Verdana"/>
          <w:sz w:val="20"/>
          <w:szCs w:val="20"/>
        </w:rPr>
        <w:t xml:space="preserve"> Todas as especificações do objeto contidas na proposta vinculam o licitante.</w:t>
      </w:r>
    </w:p>
    <w:p w14:paraId="5DB47BE0"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8.13.3 –</w:t>
      </w:r>
      <w:r>
        <w:rPr>
          <w:rFonts w:ascii="Verdana" w:eastAsia="Batang" w:hAnsi="Verdana"/>
          <w:sz w:val="20"/>
          <w:szCs w:val="20"/>
        </w:rPr>
        <w:t xml:space="preserve"> Nos valores propostos estarão inclusos todos os custos operacionais, encargos previdenciários, trabalhistas, tributários, comerciais e quaisquer outros que incidam direta ou indiretamente na execução do objeto.</w:t>
      </w:r>
    </w:p>
    <w:p w14:paraId="7001212E"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8.13.4 –</w:t>
      </w:r>
      <w:r>
        <w:rPr>
          <w:rFonts w:ascii="Verdana" w:eastAsia="Batang" w:hAnsi="Verdana"/>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7662D59F"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8.13.5 –</w:t>
      </w:r>
      <w:r>
        <w:rPr>
          <w:rFonts w:ascii="Verdana" w:eastAsia="Batang" w:hAnsi="Verdana"/>
          <w:sz w:val="20"/>
          <w:szCs w:val="20"/>
        </w:rPr>
        <w:t xml:space="preserve"> Se o regime tributário da empresa implicar o recolhimento de tributos em percentuais variáveis, a cotação adequada será a que corresponde à média dos efetivos recolhimentos da empresa nos últimos doze meses.</w:t>
      </w:r>
    </w:p>
    <w:p w14:paraId="48AA34F7"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8.13.6 –</w:t>
      </w:r>
      <w:r>
        <w:rPr>
          <w:rFonts w:ascii="Verdana" w:eastAsia="Batang" w:hAnsi="Verdana"/>
          <w:sz w:val="20"/>
          <w:szCs w:val="20"/>
        </w:rPr>
        <w:t xml:space="preserve"> Independentemente do percentual de tributo inserido na planilha, no pagamento serão retidos na fonte os percentuais estabelecidos na legislação vigente.</w:t>
      </w:r>
    </w:p>
    <w:p w14:paraId="44BEB97A"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8.13.7 –</w:t>
      </w:r>
      <w:r>
        <w:rPr>
          <w:rFonts w:ascii="Verdana" w:eastAsia="Batang" w:hAnsi="Verdana"/>
          <w:sz w:val="20"/>
          <w:szCs w:val="20"/>
        </w:rPr>
        <w:t xml:space="preserve"> Na presente licitação, a Microempresa e a Empresa de Pequeno Porte poderão se beneficiar do regime de tributação pelo Simples Nacional.</w:t>
      </w:r>
    </w:p>
    <w:p w14:paraId="63DE5DAD"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8.14 –</w:t>
      </w:r>
      <w:r>
        <w:rPr>
          <w:rFonts w:ascii="Verdana" w:eastAsia="Batang" w:hAnsi="Verdana"/>
          <w:sz w:val="20"/>
          <w:szCs w:val="20"/>
        </w:rPr>
        <w:t xml:space="preserve">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4BCA650"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8.14.1–</w:t>
      </w:r>
      <w:r>
        <w:rPr>
          <w:rFonts w:ascii="Verdana" w:eastAsia="Batang" w:hAnsi="Verdana"/>
          <w:sz w:val="20"/>
          <w:szCs w:val="20"/>
        </w:rPr>
        <w:t xml:space="preserve"> O prazo de validade da proposta não será inferior a 60 (sessenta) dias, a contar da data de sua apresentação.</w:t>
      </w:r>
    </w:p>
    <w:p w14:paraId="34453D8E"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8.15 -</w:t>
      </w:r>
      <w:r>
        <w:rPr>
          <w:rFonts w:ascii="Verdana" w:eastAsia="Batang" w:hAnsi="Verdana"/>
          <w:sz w:val="20"/>
          <w:szCs w:val="20"/>
        </w:rPr>
        <w:t xml:space="preserve"> Os documentos complementares à proposta e à habilitação, quando necessários à confirmação daqueles exigidos no edital e já apresentados, serão encaminhados pelo licitante melhor classificado após o encerramento do envio de lances e solicitação do Pregoeiro por meio do sistema, no prazo a ser definido pelo Pregoeiro.</w:t>
      </w:r>
    </w:p>
    <w:p w14:paraId="5F57390A"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8.15.1 -</w:t>
      </w:r>
      <w:r>
        <w:rPr>
          <w:rFonts w:ascii="Verdana" w:eastAsia="Batang" w:hAnsi="Verdana"/>
          <w:sz w:val="20"/>
          <w:szCs w:val="20"/>
        </w:rPr>
        <w:t xml:space="preserve"> O prazo estabelecido poderá ser prorrogado por prazo não superior ao quantitativo do prazo original, mediante solicitação escrita e justificada do licitante, formulada antes de findo o prazo, e formalmente aceita pelo Pregoeiro.</w:t>
      </w:r>
    </w:p>
    <w:p w14:paraId="30342746"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8.16 -</w:t>
      </w:r>
      <w:r>
        <w:rPr>
          <w:rFonts w:ascii="Verdana" w:eastAsia="Batang" w:hAnsi="Verdana"/>
          <w:sz w:val="20"/>
          <w:szCs w:val="20"/>
        </w:rPr>
        <w:t xml:space="preserve"> Após a abertura da sessão, não cabe desistência da proposta, salvo por motivo justo decorrente de fato superveniente e aceito pelo Pregoeiro.</w:t>
      </w:r>
    </w:p>
    <w:p w14:paraId="5BD37ED2" w14:textId="77777777" w:rsidR="007E48E9" w:rsidRDefault="007E48E9">
      <w:pPr>
        <w:tabs>
          <w:tab w:val="left" w:pos="420"/>
          <w:tab w:val="left" w:pos="6804"/>
        </w:tabs>
        <w:spacing w:before="57" w:after="57" w:line="276" w:lineRule="auto"/>
        <w:jc w:val="both"/>
        <w:rPr>
          <w:rFonts w:ascii="Verdana" w:eastAsia="Batang" w:hAnsi="Verdana"/>
          <w:sz w:val="20"/>
          <w:szCs w:val="20"/>
        </w:rPr>
      </w:pPr>
    </w:p>
    <w:p w14:paraId="5BB528B0" w14:textId="77777777" w:rsidR="007E48E9"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hAnsi="Verdana"/>
          <w:sz w:val="20"/>
          <w:szCs w:val="20"/>
        </w:rPr>
      </w:pPr>
      <w:r>
        <w:rPr>
          <w:rFonts w:ascii="Verdana" w:eastAsia="Batang" w:hAnsi="Verdana"/>
          <w:b/>
          <w:sz w:val="20"/>
          <w:szCs w:val="20"/>
        </w:rPr>
        <w:lastRenderedPageBreak/>
        <w:t xml:space="preserve">IX – </w:t>
      </w:r>
      <w:r>
        <w:rPr>
          <w:rFonts w:ascii="Verdana" w:eastAsia="Batang" w:hAnsi="Verdana"/>
          <w:b/>
          <w:bCs/>
          <w:sz w:val="20"/>
          <w:szCs w:val="20"/>
        </w:rPr>
        <w:t>DA SESSÃO PÚBLICA, DO JULGAMENTO DAS PROPOSTAS E FORMULAÇÃO DE LANCES</w:t>
      </w:r>
    </w:p>
    <w:p w14:paraId="4FE6BF14" w14:textId="77777777" w:rsidR="007E48E9" w:rsidRDefault="00000000">
      <w:pPr>
        <w:spacing w:before="57" w:after="57" w:line="276" w:lineRule="auto"/>
        <w:jc w:val="both"/>
        <w:rPr>
          <w:rFonts w:ascii="Verdana" w:hAnsi="Verdana"/>
          <w:sz w:val="20"/>
          <w:szCs w:val="20"/>
        </w:rPr>
      </w:pPr>
      <w:r>
        <w:rPr>
          <w:rFonts w:ascii="Verdana" w:hAnsi="Verdana"/>
          <w:b/>
          <w:sz w:val="20"/>
          <w:szCs w:val="20"/>
        </w:rPr>
        <w:t>9.1 –</w:t>
      </w:r>
      <w:r>
        <w:rPr>
          <w:rFonts w:ascii="Verdana" w:hAnsi="Verdana"/>
          <w:sz w:val="20"/>
          <w:szCs w:val="20"/>
        </w:rPr>
        <w:t xml:space="preserve"> A abertura da sessão pública ocorrerá na data e na hora indicadas neste edital.</w:t>
      </w:r>
    </w:p>
    <w:p w14:paraId="623D459E"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9.1.1 -</w:t>
      </w:r>
      <w:r>
        <w:rPr>
          <w:rFonts w:ascii="Verdana" w:hAnsi="Verdana"/>
          <w:sz w:val="20"/>
          <w:szCs w:val="20"/>
        </w:rPr>
        <w:t xml:space="preserve"> O critério de julgamento deste pregão eletrônico será o </w:t>
      </w:r>
      <w:r>
        <w:rPr>
          <w:rFonts w:ascii="Verdana" w:hAnsi="Verdana"/>
          <w:b/>
          <w:bCs/>
          <w:sz w:val="20"/>
          <w:szCs w:val="20"/>
        </w:rPr>
        <w:t>MENOR PREÇO GLOBAL</w:t>
      </w:r>
      <w:r>
        <w:rPr>
          <w:rFonts w:ascii="Verdana" w:hAnsi="Verdana"/>
          <w:sz w:val="20"/>
          <w:szCs w:val="20"/>
        </w:rPr>
        <w:t xml:space="preserve">, por meio do modo de disputa </w:t>
      </w:r>
      <w:r>
        <w:rPr>
          <w:rFonts w:ascii="Verdana" w:hAnsi="Verdana"/>
          <w:b/>
          <w:bCs/>
          <w:sz w:val="20"/>
          <w:szCs w:val="20"/>
        </w:rPr>
        <w:t>ABERTO</w:t>
      </w:r>
      <w:r>
        <w:rPr>
          <w:rFonts w:ascii="Verdana" w:hAnsi="Verdana"/>
          <w:sz w:val="20"/>
          <w:szCs w:val="20"/>
        </w:rPr>
        <w:t>.</w:t>
      </w:r>
    </w:p>
    <w:p w14:paraId="63A4B90E"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9.2 -</w:t>
      </w:r>
      <w:r>
        <w:rPr>
          <w:rFonts w:ascii="Verdana" w:hAnsi="Verdana"/>
          <w:sz w:val="20"/>
          <w:szCs w:val="20"/>
        </w:rPr>
        <w:t xml:space="preserve"> Aberta a sessão pública, o Pregoeiro verificará as propostas apresentadas e desclassificará aquelas que não estejam em conformidade com os requisitos estabelecidos no edital.</w:t>
      </w:r>
    </w:p>
    <w:p w14:paraId="415C3530"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9.2.1 -</w:t>
      </w:r>
      <w:r>
        <w:rPr>
          <w:rFonts w:ascii="Verdana" w:hAnsi="Verdana"/>
          <w:sz w:val="20"/>
          <w:szCs w:val="20"/>
        </w:rPr>
        <w:t xml:space="preserve"> Será desclassificada a proposta que identifique o licitante;</w:t>
      </w:r>
    </w:p>
    <w:p w14:paraId="097149E2"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9.2.2 -</w:t>
      </w:r>
      <w:r>
        <w:rPr>
          <w:rFonts w:ascii="Verdana" w:hAnsi="Verdana"/>
          <w:sz w:val="20"/>
          <w:szCs w:val="20"/>
        </w:rPr>
        <w:t xml:space="preserve"> A desclassificação de proposta será fundamentada e registrada no sistema, com acompanhamento em tempo real por todos os participantes;</w:t>
      </w:r>
    </w:p>
    <w:p w14:paraId="5A2C159A"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9.2.3 -</w:t>
      </w:r>
      <w:r>
        <w:rPr>
          <w:rFonts w:ascii="Verdana" w:hAnsi="Verdana"/>
          <w:sz w:val="20"/>
          <w:szCs w:val="20"/>
        </w:rPr>
        <w:t xml:space="preserve"> A classificação da proposta não impede o seu julgamento definitivo em sentido contrário, levado a efeito na fase de aceitação.</w:t>
      </w:r>
    </w:p>
    <w:p w14:paraId="68459F1E"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9.3 -</w:t>
      </w:r>
      <w:r>
        <w:rPr>
          <w:rFonts w:ascii="Verdana" w:hAnsi="Verdana"/>
          <w:sz w:val="20"/>
          <w:szCs w:val="20"/>
        </w:rPr>
        <w:t xml:space="preserve"> O sistema disponibilizará campo próprio para troca de mensagens entre o Pregoeiro e os licitantes.</w:t>
      </w:r>
    </w:p>
    <w:p w14:paraId="51F62A7F"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9.4 -</w:t>
      </w:r>
      <w:r>
        <w:rPr>
          <w:rFonts w:ascii="Verdana" w:hAnsi="Verdana"/>
          <w:sz w:val="20"/>
          <w:szCs w:val="20"/>
        </w:rPr>
        <w:t xml:space="preserve"> O sistema ordenará, automaticamente, as propostas classificadas pelo Pregoeiro, sendo que somente estas participarão da etapa de envio de lances.</w:t>
      </w:r>
    </w:p>
    <w:p w14:paraId="6BC939DA"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9.5 -</w:t>
      </w:r>
      <w:r>
        <w:rPr>
          <w:rFonts w:ascii="Verdana" w:hAnsi="Verdana"/>
          <w:sz w:val="20"/>
          <w:szCs w:val="20"/>
        </w:rPr>
        <w:t xml:space="preserve"> Classificadas as propostas, considerando-se o critério de </w:t>
      </w:r>
      <w:r>
        <w:rPr>
          <w:rFonts w:ascii="Verdana" w:hAnsi="Verdana"/>
          <w:b/>
          <w:bCs/>
          <w:sz w:val="20"/>
          <w:szCs w:val="20"/>
        </w:rPr>
        <w:t>MENOR PREÇO GLOBAL</w:t>
      </w:r>
      <w:r>
        <w:rPr>
          <w:rFonts w:ascii="Verdana" w:hAnsi="Verdana"/>
          <w:sz w:val="20"/>
          <w:szCs w:val="20"/>
        </w:rPr>
        <w:t>, o Pregoeiro dará início à fase competitiva, oportunidade em que os licitantes poderão encaminhar lances exclusivamente por meio do sistema eletrônico.</w:t>
      </w:r>
    </w:p>
    <w:p w14:paraId="21BD59BB"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9.6 -</w:t>
      </w:r>
      <w:r>
        <w:rPr>
          <w:rFonts w:ascii="Verdana" w:hAnsi="Verdana"/>
          <w:sz w:val="20"/>
          <w:szCs w:val="20"/>
        </w:rPr>
        <w:t xml:space="preserve"> O licitante será imediatamente informado do recebimento do lance e do valor consignado no registro.</w:t>
      </w:r>
    </w:p>
    <w:p w14:paraId="78282662"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9.7 -</w:t>
      </w:r>
      <w:r>
        <w:rPr>
          <w:rFonts w:ascii="Verdana" w:hAnsi="Verdana"/>
          <w:sz w:val="20"/>
          <w:szCs w:val="20"/>
        </w:rPr>
        <w:t xml:space="preserve"> Os licitantes poderão oferecer lances sucessivos, observados o horário fixado para abertura da sessão pública e as regras estabelecidas neste edital.</w:t>
      </w:r>
    </w:p>
    <w:p w14:paraId="37557A6F"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9.8 -</w:t>
      </w:r>
      <w:r>
        <w:rPr>
          <w:rFonts w:ascii="Verdana" w:hAnsi="Verdana"/>
          <w:sz w:val="20"/>
          <w:szCs w:val="20"/>
        </w:rPr>
        <w:t xml:space="preserve"> Na fase competitiva do pregão, o intervalo entre os lances enviados obedecerá às seguintes regras:</w:t>
      </w:r>
    </w:p>
    <w:p w14:paraId="6546BF7A"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9.8.1 -</w:t>
      </w:r>
      <w:r>
        <w:rPr>
          <w:rFonts w:ascii="Verdana" w:hAnsi="Verdana"/>
          <w:sz w:val="20"/>
          <w:szCs w:val="20"/>
        </w:rPr>
        <w:t xml:space="preserve"> O licitante somente poderá oferecer lance de valor inferior ao último por ele ofertado e registrado pelo sistema;</w:t>
      </w:r>
    </w:p>
    <w:p w14:paraId="662C8C47"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9.8.2 -</w:t>
      </w:r>
      <w:r>
        <w:rPr>
          <w:rFonts w:ascii="Verdana" w:hAnsi="Verdana"/>
          <w:sz w:val="20"/>
          <w:szCs w:val="20"/>
        </w:rPr>
        <w:t xml:space="preserve"> Não serão aceitos dois ou mais lances iguais, prevalecendo aquele que for recebido e registrado primeiro;</w:t>
      </w:r>
    </w:p>
    <w:p w14:paraId="560E5B48"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9.8.3 -</w:t>
      </w:r>
      <w:r>
        <w:rPr>
          <w:rFonts w:ascii="Verdana" w:hAnsi="Verdana"/>
          <w:sz w:val="20"/>
          <w:szCs w:val="20"/>
        </w:rPr>
        <w:t xml:space="preserve"> O intervalo temporal entre os lances enviados pelo mesmo licitante não poderá ser inferior a 5 (cinco) segundos e o intervalo entre lances não poderá ser inferior a 5 (cinco) segundos, sob pena de serem automaticamente descartados pelo sistema os respectivos lances;</w:t>
      </w:r>
    </w:p>
    <w:p w14:paraId="7FD0AAAD"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9.8.4 -</w:t>
      </w:r>
      <w:r>
        <w:rPr>
          <w:rFonts w:ascii="Verdana" w:hAnsi="Verdana"/>
          <w:sz w:val="20"/>
          <w:szCs w:val="20"/>
        </w:rPr>
        <w:t xml:space="preserve"> Os lances enviados em desacordo com este item serão descartados automaticamente pelo sistema;</w:t>
      </w:r>
    </w:p>
    <w:p w14:paraId="0330A0AB"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9.8.5 -</w:t>
      </w:r>
      <w:r>
        <w:rPr>
          <w:rFonts w:ascii="Verdana" w:hAnsi="Verdana"/>
          <w:sz w:val="20"/>
          <w:szCs w:val="20"/>
        </w:rPr>
        <w:t xml:space="preserve"> Em caso de falha no sistema, os lances em desacordo com a norma deverão ser desconsiderados pelo Pregoeiro;</w:t>
      </w:r>
    </w:p>
    <w:p w14:paraId="7B90704C"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9.8.6 -</w:t>
      </w:r>
      <w:r>
        <w:rPr>
          <w:rFonts w:ascii="Verdana" w:hAnsi="Verdana"/>
          <w:sz w:val="20"/>
          <w:szCs w:val="20"/>
        </w:rPr>
        <w:t xml:space="preserve"> Na hipótese do subitem anterior, a ocorrência será registrada em campo próprio do sistema.</w:t>
      </w:r>
    </w:p>
    <w:p w14:paraId="6F310BF2"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9.8.7 -</w:t>
      </w:r>
      <w:r>
        <w:rPr>
          <w:rFonts w:ascii="Verdana" w:hAnsi="Verdana"/>
          <w:sz w:val="20"/>
          <w:szCs w:val="20"/>
        </w:rPr>
        <w:t xml:space="preserve"> O Pregoeiro, poderá, durante a disputa, como medida excepcional, excluir o lance que possa comprometer, restringir ou frustrar o caráter competitivo do processo licitatório, mediante comunicação eletrônica automática via sistema</w:t>
      </w:r>
    </w:p>
    <w:p w14:paraId="47A428E4"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9.9 -</w:t>
      </w:r>
      <w:r>
        <w:rPr>
          <w:rFonts w:ascii="Verdana" w:hAnsi="Verdana"/>
          <w:sz w:val="20"/>
          <w:szCs w:val="20"/>
        </w:rPr>
        <w:t xml:space="preserve"> Durante a sessão pública, os licitantes serão informados, em tempo real, via sistema, do menor preço ou maior desconto registrado, vedada a identificação do licitante.</w:t>
      </w:r>
    </w:p>
    <w:p w14:paraId="7FC194E8"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lastRenderedPageBreak/>
        <w:t>9.10 -</w:t>
      </w:r>
      <w:r>
        <w:rPr>
          <w:rFonts w:ascii="Verdana" w:hAnsi="Verdana"/>
          <w:sz w:val="20"/>
          <w:szCs w:val="20"/>
        </w:rPr>
        <w:t xml:space="preserve"> Será adotado para o envio de lances no pregão eletrônico o modo de disputa </w:t>
      </w:r>
      <w:r>
        <w:rPr>
          <w:rFonts w:ascii="Verdana" w:hAnsi="Verdana"/>
          <w:b/>
          <w:bCs/>
          <w:sz w:val="20"/>
          <w:szCs w:val="20"/>
        </w:rPr>
        <w:t>ABERTO</w:t>
      </w:r>
      <w:r>
        <w:rPr>
          <w:rFonts w:ascii="Verdana" w:hAnsi="Verdana"/>
          <w:sz w:val="20"/>
          <w:szCs w:val="20"/>
        </w:rPr>
        <w:t>, no qual os licitantes apresentarão lances públicos e sucessivos, conforme o critério de julgamento adotado neste edital.</w:t>
      </w:r>
    </w:p>
    <w:p w14:paraId="407A7F91"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9.11</w:t>
      </w:r>
      <w:r>
        <w:rPr>
          <w:rFonts w:ascii="Verdana" w:hAnsi="Verdana"/>
          <w:sz w:val="20"/>
          <w:szCs w:val="20"/>
        </w:rPr>
        <w:t xml:space="preserve"> - </w:t>
      </w:r>
      <w:r>
        <w:rPr>
          <w:rFonts w:ascii="Verdana" w:hAnsi="Verdana" w:cs="Arial"/>
          <w:sz w:val="20"/>
          <w:szCs w:val="20"/>
        </w:rPr>
        <w:t>A etapa de lances na sessão pública durará 10 (dez) minutos, e após isso, será prorrogada automaticamente pelo sistema eletrônico quando houver lance ofertado nos últimos 2 (dois) minutos do período de duração da sessão pública.</w:t>
      </w:r>
    </w:p>
    <w:p w14:paraId="367CBE1C" w14:textId="77777777" w:rsidR="007E48E9" w:rsidRDefault="00000000">
      <w:pPr>
        <w:pStyle w:val="Default"/>
        <w:spacing w:before="57" w:after="57" w:line="276" w:lineRule="auto"/>
        <w:jc w:val="both"/>
        <w:rPr>
          <w:rFonts w:ascii="Verdana" w:hAnsi="Verdana"/>
          <w:sz w:val="20"/>
          <w:szCs w:val="20"/>
        </w:rPr>
      </w:pPr>
      <w:r>
        <w:rPr>
          <w:rFonts w:ascii="Verdana" w:hAnsi="Verdana"/>
          <w:b/>
          <w:bCs/>
          <w:sz w:val="20"/>
          <w:szCs w:val="20"/>
        </w:rPr>
        <w:t>9.12</w:t>
      </w:r>
      <w:r>
        <w:rPr>
          <w:rFonts w:ascii="Verdana" w:hAnsi="Verdana"/>
          <w:sz w:val="20"/>
          <w:szCs w:val="20"/>
        </w:rPr>
        <w:t xml:space="preserve"> </w:t>
      </w:r>
      <w:bookmarkStart w:id="3" w:name="_Hlk169708829"/>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bookmarkEnd w:id="3"/>
    </w:p>
    <w:p w14:paraId="6A96093E" w14:textId="77777777" w:rsidR="007E48E9" w:rsidRDefault="00000000">
      <w:pPr>
        <w:pStyle w:val="Default"/>
        <w:spacing w:before="57" w:after="57" w:line="276" w:lineRule="auto"/>
        <w:jc w:val="both"/>
        <w:rPr>
          <w:rFonts w:ascii="Verdana" w:hAnsi="Verdana"/>
          <w:sz w:val="20"/>
          <w:szCs w:val="20"/>
        </w:rPr>
      </w:pPr>
      <w:r>
        <w:rPr>
          <w:rFonts w:ascii="Verdana" w:hAnsi="Verdana"/>
          <w:b/>
          <w:bCs/>
          <w:sz w:val="20"/>
          <w:szCs w:val="20"/>
        </w:rPr>
        <w:t>9.13</w:t>
      </w:r>
      <w:r>
        <w:rPr>
          <w:rFonts w:ascii="Verdana" w:hAnsi="Verdana"/>
          <w:sz w:val="20"/>
          <w:szCs w:val="20"/>
        </w:rPr>
        <w:t xml:space="preserve"> </w:t>
      </w:r>
      <w:bookmarkStart w:id="4" w:name="_Hlk169708910"/>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bookmarkEnd w:id="4"/>
    </w:p>
    <w:p w14:paraId="18ED7DE5" w14:textId="77777777" w:rsidR="007E48E9" w:rsidRDefault="00000000">
      <w:pPr>
        <w:pStyle w:val="Default"/>
        <w:spacing w:before="57" w:after="57" w:line="276" w:lineRule="auto"/>
        <w:jc w:val="both"/>
        <w:rPr>
          <w:rFonts w:ascii="Verdana" w:hAnsi="Verdana"/>
          <w:sz w:val="20"/>
          <w:szCs w:val="20"/>
        </w:rPr>
      </w:pPr>
      <w:r>
        <w:rPr>
          <w:rFonts w:ascii="Verdana" w:hAnsi="Verdana"/>
          <w:b/>
          <w:bCs/>
          <w:sz w:val="20"/>
          <w:szCs w:val="20"/>
        </w:rPr>
        <w:t>9.14</w:t>
      </w:r>
      <w:r>
        <w:rPr>
          <w:rFonts w:ascii="Verdana" w:hAnsi="Verdana"/>
          <w:sz w:val="20"/>
          <w:szCs w:val="20"/>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A038305" w14:textId="77777777" w:rsidR="007E48E9" w:rsidRDefault="00000000">
      <w:pPr>
        <w:pStyle w:val="Default"/>
        <w:spacing w:before="57" w:after="57" w:line="276" w:lineRule="auto"/>
        <w:jc w:val="both"/>
        <w:rPr>
          <w:rFonts w:ascii="Verdana" w:hAnsi="Verdana"/>
          <w:sz w:val="20"/>
          <w:szCs w:val="20"/>
        </w:rPr>
      </w:pPr>
      <w:r>
        <w:rPr>
          <w:rFonts w:ascii="Verdana" w:hAnsi="Verdana"/>
          <w:b/>
          <w:bCs/>
          <w:sz w:val="20"/>
          <w:szCs w:val="20"/>
        </w:rPr>
        <w:t>9.15</w:t>
      </w:r>
      <w:r>
        <w:rPr>
          <w:rFonts w:ascii="Verdana" w:hAnsi="Verdana"/>
          <w:sz w:val="20"/>
          <w:szCs w:val="20"/>
        </w:rPr>
        <w:t xml:space="preserve"> Após o reinício previsto no item supra, os licitantes serão convocados para apresentar lances intermediários.</w:t>
      </w:r>
    </w:p>
    <w:p w14:paraId="23C645F0"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9.16</w:t>
      </w:r>
      <w:r>
        <w:rPr>
          <w:rFonts w:ascii="Verdana" w:hAnsi="Verdana"/>
          <w:sz w:val="20"/>
          <w:szCs w:val="20"/>
        </w:rPr>
        <w:t>. Após o término dos prazos estabelecidos nos itens anteriores, o sistema ordenará os lances segundo a ordem crescente de valores.</w:t>
      </w:r>
    </w:p>
    <w:p w14:paraId="0875C9FA"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9.17</w:t>
      </w:r>
      <w:r>
        <w:rPr>
          <w:rFonts w:ascii="Verdana" w:hAnsi="Verdana" w:cs="Arial"/>
          <w:color w:val="000000"/>
          <w:sz w:val="20"/>
          <w:szCs w:val="20"/>
        </w:rPr>
        <w:t xml:space="preserve"> Não serão aceitos dois ou mais lances de mesmo valor, prevalecendo aquele que for recebido e registrado em primeiro lugar.</w:t>
      </w:r>
    </w:p>
    <w:p w14:paraId="29D241BB"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9.18</w:t>
      </w:r>
      <w:r>
        <w:rPr>
          <w:rFonts w:ascii="Verdana" w:hAnsi="Verdana" w:cs="Arial"/>
          <w:color w:val="000000"/>
          <w:sz w:val="20"/>
          <w:szCs w:val="20"/>
        </w:rPr>
        <w:t xml:space="preserve"> Durante o transcurso da sessão pública, os licitantes serão informados, em tempo real, do valor do menor lance registrado, vedada a identificação do licitante. </w:t>
      </w:r>
    </w:p>
    <w:p w14:paraId="02306879"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9.19 </w:t>
      </w:r>
      <w:r>
        <w:rPr>
          <w:rFonts w:ascii="Verdana" w:hAnsi="Verdana" w:cs="Arial"/>
          <w:color w:val="000000"/>
          <w:sz w:val="20"/>
          <w:szCs w:val="20"/>
        </w:rPr>
        <w:t xml:space="preserve">No caso de desconexão com o Pregoeiro, no decorrer da etapa competitiva do Pregão, o sistema eletrônico poderá permanecer acessível aos licitantes para a recepção dos lances. </w:t>
      </w:r>
    </w:p>
    <w:p w14:paraId="16248CA7"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9.20</w:t>
      </w:r>
      <w:r>
        <w:rPr>
          <w:rFonts w:ascii="Verdana" w:hAnsi="Verdana" w:cs="Arial"/>
          <w:color w:val="000000"/>
          <w:sz w:val="20"/>
          <w:szCs w:val="2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33499F8"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9.21</w:t>
      </w:r>
      <w:r>
        <w:rPr>
          <w:rFonts w:ascii="Verdana" w:hAnsi="Verdana" w:cs="Arial"/>
          <w:color w:val="000000"/>
          <w:sz w:val="20"/>
          <w:szCs w:val="20"/>
        </w:rPr>
        <w:t xml:space="preserve"> O Critério de julgamento adotado será o de menor preço, conforme definido neste Edital e seus anexos.</w:t>
      </w:r>
    </w:p>
    <w:p w14:paraId="64038B85"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9.22</w:t>
      </w:r>
      <w:r>
        <w:rPr>
          <w:rFonts w:ascii="Verdana" w:hAnsi="Verdana" w:cs="Arial"/>
          <w:color w:val="000000"/>
          <w:sz w:val="20"/>
          <w:szCs w:val="20"/>
        </w:rPr>
        <w:t xml:space="preserve"> Caso o licitante não apresente lances, concorrerá com o valor de sua proposta.</w:t>
      </w:r>
    </w:p>
    <w:p w14:paraId="770C51A4"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9.23</w:t>
      </w:r>
      <w:r>
        <w:rPr>
          <w:rFonts w:ascii="Verdana" w:hAnsi="Verdana" w:cs="Arial"/>
          <w:color w:val="000000"/>
          <w:sz w:val="20"/>
          <w:szCs w:val="20"/>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Pr>
          <w:rFonts w:ascii="Verdana" w:hAnsi="Verdana" w:cs="Arial"/>
          <w:color w:val="000000"/>
          <w:sz w:val="20"/>
          <w:szCs w:val="20"/>
        </w:rPr>
        <w:t>arts</w:t>
      </w:r>
      <w:proofErr w:type="spellEnd"/>
      <w:r>
        <w:rPr>
          <w:rFonts w:ascii="Verdana" w:hAnsi="Verdana" w:cs="Arial"/>
          <w:color w:val="000000"/>
          <w:sz w:val="20"/>
          <w:szCs w:val="20"/>
        </w:rPr>
        <w:t>. 44 e 45 da LC nº 123, de 2006, regulamentada pelo Decreto nº 8.538, de 2015.</w:t>
      </w:r>
    </w:p>
    <w:p w14:paraId="2EA50919"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9.24</w:t>
      </w:r>
      <w:r>
        <w:rPr>
          <w:rFonts w:ascii="Verdana" w:hAnsi="Verdana" w:cs="Arial"/>
          <w:color w:val="000000"/>
          <w:sz w:val="20"/>
          <w:szCs w:val="20"/>
        </w:rPr>
        <w:t xml:space="preserve"> Nessas condições, as propostas de microempresas e empresas de pequeno porte que se encontrarem na faixa de até 5% (cinco por cento) acima da melhor proposta ou melhor lance serão consideradas empatadas com a primeira colocada.</w:t>
      </w:r>
    </w:p>
    <w:p w14:paraId="0C5ADC20"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9.25</w:t>
      </w:r>
      <w:r>
        <w:rPr>
          <w:rFonts w:ascii="Verdana" w:hAnsi="Verdana" w:cs="Arial"/>
          <w:color w:val="000000"/>
          <w:sz w:val="20"/>
          <w:szCs w:val="20"/>
        </w:rPr>
        <w:t xml:space="preserve"> A melhor classificada nos termos do item anterior terá o direito de encaminhar uma última oferta para desempate, obrigatoriamente em valor inferior ao da primeira colocada, </w:t>
      </w:r>
      <w:r>
        <w:rPr>
          <w:rFonts w:ascii="Verdana" w:hAnsi="Verdana" w:cs="Arial"/>
          <w:color w:val="000000"/>
          <w:sz w:val="20"/>
          <w:szCs w:val="20"/>
        </w:rPr>
        <w:lastRenderedPageBreak/>
        <w:t>no prazo de 5 (cinco) minutos controlados pelo sistema, contados após a comunicação automática para tanto.</w:t>
      </w:r>
    </w:p>
    <w:p w14:paraId="14BB7B83"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9.26</w:t>
      </w:r>
      <w:r>
        <w:rPr>
          <w:rFonts w:ascii="Verdana" w:hAnsi="Verdana" w:cs="Arial"/>
          <w:color w:val="000000"/>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77E19CB"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9.27</w:t>
      </w:r>
      <w:r>
        <w:rPr>
          <w:rFonts w:ascii="Verdana" w:hAnsi="Verdana" w:cs="Arial"/>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BB06C58"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9.28</w:t>
      </w:r>
      <w:r>
        <w:rPr>
          <w:rFonts w:ascii="Verdana" w:hAnsi="Verdana" w:cs="Arial"/>
          <w:color w:val="000000"/>
          <w:sz w:val="20"/>
          <w:szCs w:val="20"/>
        </w:rPr>
        <w:t xml:space="preserve"> Só poderá haver empate entre propostas iguais (não seguidas de lances), ou entre lances finais da fase fechada do modo de disputa aberto e fechado. </w:t>
      </w:r>
    </w:p>
    <w:p w14:paraId="7A393F83"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9.29</w:t>
      </w:r>
      <w:r>
        <w:rPr>
          <w:rFonts w:ascii="Verdana" w:hAnsi="Verdana" w:cs="Arial"/>
          <w:color w:val="000000"/>
          <w:sz w:val="20"/>
          <w:szCs w:val="20"/>
        </w:rPr>
        <w:t xml:space="preserve"> Havendo eventual empate entre propostas ou lances, o critério de desempate será aquele previsto no art. 60 da Lei nº 14.133, de 2021, assegurando-se a preferência, sucessivamente, aos bens produzidos ou prestados por:</w:t>
      </w:r>
    </w:p>
    <w:p w14:paraId="014672BD" w14:textId="77777777" w:rsidR="007E48E9" w:rsidRDefault="00000000">
      <w:pPr>
        <w:spacing w:before="57" w:after="57" w:line="276" w:lineRule="auto"/>
        <w:jc w:val="both"/>
        <w:rPr>
          <w:rFonts w:ascii="Verdana" w:hAnsi="Verdana"/>
          <w:sz w:val="20"/>
          <w:szCs w:val="20"/>
        </w:rPr>
      </w:pPr>
      <w:r>
        <w:rPr>
          <w:rFonts w:ascii="Verdana" w:hAnsi="Verdana" w:cs="Arial"/>
          <w:color w:val="000000"/>
          <w:sz w:val="20"/>
          <w:szCs w:val="20"/>
        </w:rPr>
        <w:t>9.29.1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6AC70BD"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9.29.2 </w:t>
      </w:r>
      <w:r>
        <w:rPr>
          <w:rFonts w:ascii="Verdana" w:hAnsi="Verdana" w:cs="Arial"/>
          <w:color w:val="000000"/>
          <w:sz w:val="20"/>
          <w:szCs w:val="20"/>
        </w:rPr>
        <w:t>Por empresas brasileiras;</w:t>
      </w:r>
    </w:p>
    <w:p w14:paraId="206DBF5B"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9.29.3</w:t>
      </w:r>
      <w:r>
        <w:rPr>
          <w:rFonts w:ascii="Verdana" w:hAnsi="Verdana" w:cs="Arial"/>
          <w:color w:val="000000"/>
          <w:sz w:val="20"/>
          <w:szCs w:val="20"/>
        </w:rPr>
        <w:t xml:space="preserve"> Por empresas que invistam em pesquisa e no desenvolvimento de tecnologia no País;</w:t>
      </w:r>
    </w:p>
    <w:p w14:paraId="2D52C9FC" w14:textId="77777777" w:rsidR="007E48E9" w:rsidRDefault="00000000">
      <w:pPr>
        <w:spacing w:before="57" w:after="57" w:line="276" w:lineRule="auto"/>
        <w:jc w:val="both"/>
      </w:pPr>
      <w:r>
        <w:rPr>
          <w:rFonts w:ascii="Verdana" w:hAnsi="Verdana" w:cs="Arial"/>
          <w:b/>
          <w:bCs/>
          <w:color w:val="000000"/>
          <w:sz w:val="20"/>
          <w:szCs w:val="20"/>
        </w:rPr>
        <w:t>9.29.4</w:t>
      </w:r>
      <w:r>
        <w:rPr>
          <w:rFonts w:ascii="Verdana" w:hAnsi="Verdana" w:cs="Arial"/>
          <w:color w:val="000000"/>
          <w:sz w:val="20"/>
          <w:szCs w:val="20"/>
        </w:rPr>
        <w:t xml:space="preserve"> </w:t>
      </w:r>
      <w:r>
        <w:rPr>
          <w:rFonts w:ascii="Verdana" w:hAnsi="Verdana"/>
          <w:sz w:val="20"/>
          <w:szCs w:val="20"/>
        </w:rPr>
        <w:t xml:space="preserve">empresas que comprovem a prática de mitigação, nos termos da </w:t>
      </w:r>
      <w:hyperlink r:id="rId10" w:anchor=":~:text=LEI%20N%C2%BA%2012.187%2C%20DE%2029%20DE%20DEZEMBRO%20DE%202009.&amp;text=Institui%20a%20Pol%C3%ADtica%20Nacional%20sobre,PNMC%20e%20d%C3%A1%20outras%20provid%C3%AAncias." w:history="1">
        <w:r w:rsidR="007E48E9">
          <w:rPr>
            <w:rStyle w:val="Hyperlink"/>
            <w:rFonts w:ascii="Verdana" w:hAnsi="Verdana"/>
            <w:sz w:val="20"/>
            <w:szCs w:val="20"/>
          </w:rPr>
          <w:t>Lei nº 12.187, de 29 de dezembro de 2009</w:t>
        </w:r>
      </w:hyperlink>
      <w:r>
        <w:rPr>
          <w:rFonts w:ascii="Verdana" w:hAnsi="Verdana"/>
          <w:sz w:val="20"/>
          <w:szCs w:val="20"/>
        </w:rPr>
        <w:t>.</w:t>
      </w:r>
    </w:p>
    <w:p w14:paraId="5C1B820E"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9.30</w:t>
      </w:r>
      <w:r>
        <w:rPr>
          <w:rFonts w:ascii="Verdana" w:hAnsi="Verdana" w:cs="Arial"/>
          <w:color w:val="000000"/>
          <w:sz w:val="20"/>
          <w:szCs w:val="20"/>
        </w:rPr>
        <w:t xml:space="preserve"> Persistindo o empate, a proposta vencedora será sorteada pelo sistema eletrônico dentre as propostas ou os lances empatados. </w:t>
      </w:r>
    </w:p>
    <w:p w14:paraId="26592971"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9.31</w:t>
      </w:r>
      <w:r>
        <w:rPr>
          <w:rFonts w:ascii="Verdana" w:hAnsi="Verdana" w:cs="Arial"/>
          <w:color w:val="000000"/>
          <w:sz w:val="20"/>
          <w:szCs w:val="20"/>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597A7D2" w14:textId="77777777" w:rsidR="007E48E9"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9.31.1 A negociação será realizada por meio do sistema, podendo ser acompanhada pelos demais licitantes.</w:t>
      </w:r>
    </w:p>
    <w:p w14:paraId="660DFFF9" w14:textId="77777777" w:rsidR="007E48E9" w:rsidRDefault="00000000">
      <w:pPr>
        <w:pStyle w:val="PargrafodaLista"/>
        <w:tabs>
          <w:tab w:val="left" w:pos="-12"/>
        </w:tabs>
        <w:spacing w:before="57" w:after="57" w:line="276" w:lineRule="auto"/>
        <w:ind w:left="0"/>
        <w:contextualSpacing w:val="0"/>
        <w:jc w:val="both"/>
        <w:rPr>
          <w:rFonts w:ascii="Verdana" w:hAnsi="Verdana"/>
          <w:sz w:val="20"/>
          <w:szCs w:val="20"/>
        </w:rPr>
      </w:pPr>
      <w:r>
        <w:rPr>
          <w:rFonts w:ascii="Verdana" w:hAnsi="Verdana" w:cs="Arial"/>
          <w:color w:val="000000"/>
          <w:sz w:val="20"/>
          <w:szCs w:val="20"/>
        </w:rPr>
        <w:t>9.31.2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4221E7BF"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9.32</w:t>
      </w:r>
      <w:bookmarkStart w:id="5" w:name="_Hlk169708956"/>
      <w:r>
        <w:rPr>
          <w:rFonts w:ascii="Verdana" w:hAnsi="Verdana" w:cs="Arial"/>
          <w:color w:val="000000"/>
          <w:sz w:val="20"/>
          <w:szCs w:val="20"/>
        </w:rPr>
        <w:t xml:space="preserve"> Após a negociação do preço, o Pregoeiro iniciará a fase de aceitação e julgamento da proposta.</w:t>
      </w:r>
      <w:bookmarkEnd w:id="5"/>
    </w:p>
    <w:p w14:paraId="29C460A2" w14:textId="77777777" w:rsidR="007E48E9" w:rsidRDefault="007E48E9">
      <w:pPr>
        <w:spacing w:before="57" w:after="57" w:line="276" w:lineRule="auto"/>
        <w:jc w:val="both"/>
        <w:rPr>
          <w:rFonts w:ascii="Verdana" w:hAnsi="Verdana"/>
          <w:sz w:val="20"/>
          <w:szCs w:val="20"/>
        </w:rPr>
      </w:pPr>
    </w:p>
    <w:p w14:paraId="6DBBDCF3" w14:textId="77777777" w:rsidR="007E48E9"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hAnsi="Verdana"/>
          <w:sz w:val="20"/>
          <w:szCs w:val="20"/>
        </w:rPr>
      </w:pPr>
      <w:bookmarkStart w:id="6" w:name="_Hlk174630429"/>
      <w:r>
        <w:rPr>
          <w:rFonts w:ascii="Verdana" w:eastAsia="Batang" w:hAnsi="Verdana"/>
          <w:b/>
          <w:sz w:val="20"/>
          <w:szCs w:val="20"/>
        </w:rPr>
        <w:t xml:space="preserve">X - </w:t>
      </w:r>
      <w:r>
        <w:rPr>
          <w:rFonts w:ascii="Verdana" w:eastAsia="Batang" w:hAnsi="Verdana"/>
          <w:b/>
          <w:bCs/>
          <w:sz w:val="20"/>
          <w:szCs w:val="20"/>
        </w:rPr>
        <w:t>DOCUMENTOS DE HABILITAÇÃO</w:t>
      </w:r>
    </w:p>
    <w:p w14:paraId="5B1835A9"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10.1 -</w:t>
      </w:r>
      <w:r>
        <w:rPr>
          <w:rFonts w:ascii="Verdana" w:eastAsia="Times New Roman" w:hAnsi="Verdana" w:cs="Calibri"/>
          <w:bCs/>
          <w:sz w:val="20"/>
          <w:szCs w:val="20"/>
        </w:rPr>
        <w:t xml:space="preserve"> </w:t>
      </w:r>
      <w:r>
        <w:rPr>
          <w:rFonts w:ascii="Verdana" w:eastAsia="Batang" w:hAnsi="Verdana"/>
          <w:bCs/>
          <w:sz w:val="20"/>
          <w:szCs w:val="20"/>
        </w:rPr>
        <w:t>Os documentos de habilitação elencados abaixo serão enviados por meio do sistema, em formato digital, no prazo de 2 (duas) horas, prorrogável por igual período, contado da solicitação do Pregoeiro.</w:t>
      </w:r>
    </w:p>
    <w:p w14:paraId="4ACF7713"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lastRenderedPageBreak/>
        <w:t>10.1.1 -</w:t>
      </w:r>
      <w:r>
        <w:rPr>
          <w:rFonts w:ascii="Verdana" w:eastAsia="Batang" w:hAnsi="Verdana"/>
          <w:bCs/>
          <w:sz w:val="20"/>
          <w:szCs w:val="20"/>
        </w:rPr>
        <w:t xml:space="preserve"> Para fins do disposto neste edital, entende-se como documento digital aquele </w:t>
      </w:r>
      <w:proofErr w:type="spellStart"/>
      <w:r>
        <w:rPr>
          <w:rFonts w:ascii="Verdana" w:eastAsia="Batang" w:hAnsi="Verdana"/>
          <w:bCs/>
          <w:sz w:val="20"/>
          <w:szCs w:val="20"/>
        </w:rPr>
        <w:t>natodigital</w:t>
      </w:r>
      <w:proofErr w:type="spellEnd"/>
      <w:r>
        <w:rPr>
          <w:rFonts w:ascii="Verdana" w:eastAsia="Batang" w:hAnsi="Verdana"/>
          <w:bCs/>
          <w:sz w:val="20"/>
          <w:szCs w:val="20"/>
        </w:rPr>
        <w:t xml:space="preserve"> ou digitalizado, este último em formato PDF, sendo vedada a apresentação de arquivos em imagem.</w:t>
      </w:r>
    </w:p>
    <w:p w14:paraId="1417F636"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10.1.2 -</w:t>
      </w:r>
      <w:r>
        <w:rPr>
          <w:rFonts w:ascii="Verdana" w:eastAsia="Batang" w:hAnsi="Verdana"/>
          <w:bCs/>
          <w:sz w:val="20"/>
          <w:szCs w:val="20"/>
        </w:rPr>
        <w:t xml:space="preserve"> A documentação exigida para fins de habilitação jurídica, fiscal, social e trabalhista e econômico-financeira, deverá constar no registro cadastral no SICAF.</w:t>
      </w:r>
    </w:p>
    <w:p w14:paraId="764D3514"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10.1.2.1 -</w:t>
      </w:r>
      <w:r>
        <w:rPr>
          <w:rFonts w:ascii="Verdana" w:eastAsia="Batang" w:hAnsi="Verdana"/>
          <w:bCs/>
          <w:sz w:val="20"/>
          <w:szCs w:val="20"/>
        </w:rPr>
        <w:t xml:space="preserve"> É de responsabilidade do licitante conferir a exatidão dos seus dados cadastrais no </w:t>
      </w:r>
      <w:proofErr w:type="spellStart"/>
      <w:r>
        <w:rPr>
          <w:rFonts w:ascii="Verdana" w:eastAsia="Batang" w:hAnsi="Verdana"/>
          <w:bCs/>
          <w:sz w:val="20"/>
          <w:szCs w:val="20"/>
        </w:rPr>
        <w:t>Sicaf</w:t>
      </w:r>
      <w:proofErr w:type="spellEnd"/>
      <w:r>
        <w:rPr>
          <w:rFonts w:ascii="Verdana" w:eastAsia="Batang" w:hAnsi="Verdana"/>
          <w:bCs/>
          <w:sz w:val="20"/>
          <w:szCs w:val="20"/>
        </w:rPr>
        <w:t xml:space="preserve"> e mantê-los atualizados junto aos órgãos responsáveis pela informação, devendo proceder, imediatamente, à correção ou à alteração dos registros tão logo identifique incorreção ou aqueles se tornem desatualizados. (IN nº 3/2018, art. 7º, caput).</w:t>
      </w:r>
    </w:p>
    <w:p w14:paraId="0AFA3AB4"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10.1.2.2 -</w:t>
      </w:r>
      <w:r>
        <w:rPr>
          <w:rFonts w:ascii="Verdana" w:eastAsia="Batang" w:hAnsi="Verdana"/>
          <w:bCs/>
          <w:sz w:val="20"/>
          <w:szCs w:val="20"/>
        </w:rPr>
        <w:t xml:space="preserve"> A não observância do disposto no item anterior poderá ensejar desclassificação no momento da habilitação. (IN nº 3/2018, art. 7º, parágrafo único).</w:t>
      </w:r>
    </w:p>
    <w:p w14:paraId="3CAAB760"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10.1.2.3 –</w:t>
      </w:r>
      <w:r>
        <w:rPr>
          <w:rFonts w:ascii="Verdana" w:eastAsia="Batang" w:hAnsi="Verdana"/>
          <w:bCs/>
          <w:sz w:val="20"/>
          <w:szCs w:val="20"/>
        </w:rPr>
        <w:t xml:space="preserve"> Em caso pendência/ocorrência no SICAF, deverá o licitante encaminhar a documentação atualizada, juntamente com os documentos de habilitação, no prazo de 1 (uma) hora, prorrogável por igual período, contado da solicitação do Pregoeiro.</w:t>
      </w:r>
    </w:p>
    <w:p w14:paraId="7C49A940"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10.1.3 -</w:t>
      </w:r>
      <w:r>
        <w:rPr>
          <w:rFonts w:ascii="Verdana" w:eastAsia="Batang" w:hAnsi="Verdana"/>
          <w:bCs/>
          <w:sz w:val="20"/>
          <w:szCs w:val="20"/>
        </w:rPr>
        <w:t xml:space="preserve"> O Pregoeiro poderá solicitar a qualquer momento, em caráter de diligência, que os documentos de habilitação remetidos sejam apresentados em original ou por cópia autenticada. Para tanto, os documentos deverão ser encaminhados a Departamento de Licitações da Prefeitura Municipal no prazo estabelecido pelo Pregoeiro.</w:t>
      </w:r>
    </w:p>
    <w:p w14:paraId="30EEF21D"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10.2 -</w:t>
      </w:r>
      <w:r>
        <w:rPr>
          <w:rFonts w:ascii="Verdana" w:eastAsia="Batang" w:hAnsi="Verdana"/>
          <w:bCs/>
          <w:sz w:val="20"/>
          <w:szCs w:val="20"/>
        </w:rPr>
        <w:t xml:space="preserve"> Como condição prévia ao exame da documentação de habilitação, o Pregoeiro verificará o eventual descumprimento das condições de participação previstas neste edital, especialmente quanto à existência de sanção que impeça a participação no certame ou a futura contratação:</w:t>
      </w:r>
    </w:p>
    <w:p w14:paraId="59CB11BC"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10.2.1 -</w:t>
      </w:r>
      <w:r>
        <w:rPr>
          <w:rFonts w:ascii="Verdana" w:eastAsia="Batang" w:hAnsi="Verdana"/>
          <w:bCs/>
          <w:sz w:val="20"/>
          <w:szCs w:val="20"/>
        </w:rPr>
        <w:t xml:space="preserve"> Na avaliação descrita acima serão consultados os seguintes cadastros:</w:t>
      </w:r>
    </w:p>
    <w:p w14:paraId="5E7432E9"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10.2.1.1 -</w:t>
      </w:r>
      <w:r>
        <w:rPr>
          <w:rFonts w:ascii="Verdana" w:eastAsia="Batang" w:hAnsi="Verdana"/>
          <w:bCs/>
          <w:sz w:val="20"/>
          <w:szCs w:val="20"/>
        </w:rPr>
        <w:t xml:space="preserve"> Consulta Consolidada de Pessoa Jurídica do Tribunal de Contas da União no endereço eletrônico https://certidoes-apf.apps.tcu.gov.br/;</w:t>
      </w:r>
    </w:p>
    <w:p w14:paraId="2AD1F7C7"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pPr>
      <w:r>
        <w:rPr>
          <w:rFonts w:ascii="Verdana" w:eastAsia="Batang" w:hAnsi="Verdana"/>
          <w:b/>
          <w:sz w:val="20"/>
          <w:szCs w:val="20"/>
        </w:rPr>
        <w:t>10.2.1.2 -</w:t>
      </w:r>
      <w:r>
        <w:rPr>
          <w:rFonts w:ascii="Verdana" w:eastAsia="Batang" w:hAnsi="Verdana"/>
          <w:bCs/>
          <w:sz w:val="20"/>
          <w:szCs w:val="20"/>
        </w:rPr>
        <w:t xml:space="preserve"> Cadastro de Fornecedores Sancionados do Sistema Integrado de Gestão Administrativa (SIGA-ES) no endereço eletrônico </w:t>
      </w:r>
      <w:hyperlink r:id="rId11">
        <w:r w:rsidR="007E48E9">
          <w:rPr>
            <w:rStyle w:val="Hyperlink"/>
            <w:rFonts w:ascii="Verdana" w:eastAsia="Batang" w:hAnsi="Verdana"/>
            <w:bCs/>
            <w:sz w:val="20"/>
            <w:szCs w:val="20"/>
          </w:rPr>
          <w:t>https://www.siga.es.gov.br/</w:t>
        </w:r>
      </w:hyperlink>
      <w:r>
        <w:rPr>
          <w:rFonts w:ascii="Verdana" w:eastAsia="Batang" w:hAnsi="Verdana"/>
          <w:bCs/>
          <w:sz w:val="20"/>
          <w:szCs w:val="20"/>
        </w:rPr>
        <w:t>;</w:t>
      </w:r>
    </w:p>
    <w:p w14:paraId="541B4CAE"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10.2.1.3 - </w:t>
      </w:r>
      <w:r>
        <w:rPr>
          <w:rFonts w:ascii="Verdana" w:eastAsia="Batang" w:hAnsi="Verdana"/>
          <w:bCs/>
          <w:sz w:val="20"/>
          <w:szCs w:val="20"/>
        </w:rPr>
        <w:t>Lista de empresas inidôneas e proibidas de contratar do Tribunal de Contas do Estado do Espírito Santo e nos endereços eletrônicos:</w:t>
      </w:r>
    </w:p>
    <w:p w14:paraId="3659A2AD"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10.2.1.3.1 -</w:t>
      </w:r>
      <w:r>
        <w:rPr>
          <w:rFonts w:ascii="Verdana" w:eastAsia="Batang" w:hAnsi="Verdana"/>
          <w:bCs/>
          <w:sz w:val="20"/>
          <w:szCs w:val="20"/>
        </w:rPr>
        <w:t xml:space="preserve"> https://www.tce.es.gov.br/portal-datransparencia/consultas/lista-de-responsaveis/empresas-inidoneas/;</w:t>
      </w:r>
    </w:p>
    <w:p w14:paraId="27C29D2B"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pPr>
      <w:r>
        <w:rPr>
          <w:rFonts w:ascii="Verdana" w:eastAsia="Batang" w:hAnsi="Verdana"/>
          <w:b/>
          <w:sz w:val="20"/>
          <w:szCs w:val="20"/>
        </w:rPr>
        <w:t>10.2.1.3.2 -</w:t>
      </w:r>
      <w:r>
        <w:rPr>
          <w:rFonts w:ascii="Verdana" w:eastAsia="Batang" w:hAnsi="Verdana"/>
          <w:bCs/>
          <w:sz w:val="20"/>
          <w:szCs w:val="20"/>
        </w:rPr>
        <w:t xml:space="preserve"> </w:t>
      </w:r>
      <w:hyperlink r:id="rId12">
        <w:r w:rsidR="007E48E9">
          <w:rPr>
            <w:rStyle w:val="Hyperlink"/>
            <w:rFonts w:ascii="Verdana" w:eastAsia="Batang" w:hAnsi="Verdana"/>
            <w:bCs/>
            <w:sz w:val="20"/>
            <w:szCs w:val="20"/>
          </w:rPr>
          <w:t>https://www.tcees.tc.br/portal-da-transparencia/consultas/listade-responsaveis/proibidos-de-contratar/</w:t>
        </w:r>
      </w:hyperlink>
      <w:r>
        <w:rPr>
          <w:rFonts w:ascii="Verdana" w:eastAsia="Batang" w:hAnsi="Verdana"/>
          <w:bCs/>
          <w:sz w:val="20"/>
          <w:szCs w:val="20"/>
        </w:rPr>
        <w:t>.</w:t>
      </w:r>
    </w:p>
    <w:p w14:paraId="701437AF"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pPr>
      <w:r>
        <w:rPr>
          <w:rFonts w:ascii="Verdana" w:eastAsia="Batang" w:hAnsi="Verdana"/>
          <w:b/>
          <w:sz w:val="20"/>
          <w:szCs w:val="20"/>
        </w:rPr>
        <w:t>10.2.1.4 -</w:t>
      </w:r>
      <w:r>
        <w:rPr>
          <w:rFonts w:ascii="Verdana" w:eastAsia="Batang" w:hAnsi="Verdana"/>
          <w:bCs/>
          <w:sz w:val="20"/>
          <w:szCs w:val="20"/>
        </w:rPr>
        <w:t xml:space="preserve"> </w:t>
      </w:r>
      <w:r>
        <w:rPr>
          <w:rFonts w:ascii="Verdana" w:eastAsia="Batang" w:hAnsi="Verdana"/>
          <w:sz w:val="20"/>
          <w:szCs w:val="20"/>
        </w:rPr>
        <w:t>Cadastro de Empresas Inidôneas e Suspensas (</w:t>
      </w:r>
      <w:r>
        <w:rPr>
          <w:rFonts w:ascii="Verdana" w:hAnsi="Verdana"/>
          <w:color w:val="000000"/>
          <w:sz w:val="20"/>
          <w:szCs w:val="20"/>
        </w:rPr>
        <w:t xml:space="preserve">CEIS/CNEP) </w:t>
      </w:r>
      <w:r>
        <w:rPr>
          <w:rFonts w:ascii="Verdana" w:eastAsia="Batang" w:hAnsi="Verdana"/>
          <w:bCs/>
          <w:sz w:val="20"/>
          <w:szCs w:val="20"/>
        </w:rPr>
        <w:t xml:space="preserve">no endereço eletrônico </w:t>
      </w:r>
      <w:hyperlink r:id="rId13">
        <w:r w:rsidR="007E48E9">
          <w:rPr>
            <w:rStyle w:val="Hyperlink"/>
            <w:rFonts w:ascii="Verdana" w:hAnsi="Verdana"/>
            <w:sz w:val="20"/>
            <w:szCs w:val="20"/>
          </w:rPr>
          <w:t>https://portaldatransparencia.gov.br/sancoes/consulta?cadastro=1&amp;ordenarPor=nomeSancionado&amp;direcao=asc</w:t>
        </w:r>
      </w:hyperlink>
      <w:r>
        <w:rPr>
          <w:rFonts w:ascii="Verdana" w:hAnsi="Verdana"/>
          <w:sz w:val="20"/>
          <w:szCs w:val="20"/>
        </w:rPr>
        <w:t xml:space="preserve">. </w:t>
      </w:r>
    </w:p>
    <w:p w14:paraId="52A93633"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10.2.2 - </w:t>
      </w:r>
      <w:r>
        <w:rPr>
          <w:rFonts w:ascii="Verdana" w:eastAsia="Batang" w:hAnsi="Verdana"/>
          <w:bCs/>
          <w:sz w:val="20"/>
          <w:szCs w:val="20"/>
        </w:rPr>
        <w:t>Constatada a existência de sanção que inviabilize a participação ou contratação, o Pregoeiro reputará o licitante inabilitado, por falta de condição de participação.</w:t>
      </w:r>
    </w:p>
    <w:p w14:paraId="409125A8"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10.2.3 - </w:t>
      </w:r>
      <w:r>
        <w:rPr>
          <w:rFonts w:ascii="Verdana" w:eastAsia="Batang" w:hAnsi="Verdana"/>
          <w:bCs/>
          <w:sz w:val="20"/>
          <w:szCs w:val="20"/>
        </w:rPr>
        <w:t>Após a verificação das condições dos itens antecedentes, os documentos de habilitação serão apreciados nos termos do presente edital e, após análise, será declarado vencedor o licitante classificado em primeiro lugar, caso tenha atendido a todas as exigências do edital.</w:t>
      </w:r>
    </w:p>
    <w:p w14:paraId="1B5E83C9"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10.2.3.1 - </w:t>
      </w:r>
      <w:r>
        <w:rPr>
          <w:rFonts w:ascii="Verdana" w:eastAsia="Batang" w:hAnsi="Verdana"/>
          <w:bCs/>
          <w:sz w:val="20"/>
          <w:szCs w:val="20"/>
        </w:rPr>
        <w:t xml:space="preserve">A verificação nos sítios eletrônicos oficiais de órgãos e entidades emissores de certidões constitui meio legal de prova, para fins de habilitação; </w:t>
      </w:r>
    </w:p>
    <w:p w14:paraId="13F28320"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lastRenderedPageBreak/>
        <w:t xml:space="preserve">10.2.3.2 - </w:t>
      </w:r>
      <w:r>
        <w:rPr>
          <w:rFonts w:ascii="Verdana" w:eastAsia="Batang" w:hAnsi="Verdana"/>
          <w:bCs/>
          <w:sz w:val="20"/>
          <w:szCs w:val="20"/>
        </w:rPr>
        <w:t>Os documentos necessários à habilitação deverão estar com prazo vigente, à exceção daqueles que, por sua natureza, não contenham validade;</w:t>
      </w:r>
    </w:p>
    <w:p w14:paraId="599D1294"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10.2.3.3 - </w:t>
      </w:r>
      <w:r>
        <w:rPr>
          <w:rFonts w:ascii="Verdana" w:eastAsia="Batang" w:hAnsi="Verdana"/>
          <w:bCs/>
          <w:sz w:val="20"/>
          <w:szCs w:val="20"/>
        </w:rPr>
        <w:t>Não serão aceitos “protocolos de entrega” ou “solicitação de documento” em substituição aos documentos requeridos neste edital.</w:t>
      </w:r>
    </w:p>
    <w:p w14:paraId="79DE9B31"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10.2.4 - </w:t>
      </w:r>
      <w:r>
        <w:rPr>
          <w:rFonts w:ascii="Verdana" w:eastAsia="Batang" w:hAnsi="Verdana"/>
          <w:bCs/>
          <w:sz w:val="20"/>
          <w:szCs w:val="20"/>
        </w:rPr>
        <w:t>Na hipótese da proposta arrematante não for aceitável, ou se o licitante não atender às exigências habilitatórias ou se recusar a assinar o contrato, o Pregoeiro examinará a proposta subsequente e assim sucessivamente, na ordem de classificação, até a apuração de uma que atenda ao edital.</w:t>
      </w:r>
    </w:p>
    <w:p w14:paraId="6BF4A86D"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u w:val="single"/>
        </w:rPr>
        <w:t>10.3 - Habilitação Jurídica</w:t>
      </w:r>
    </w:p>
    <w:p w14:paraId="23EE40BB"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I.</w:t>
      </w:r>
      <w:r>
        <w:rPr>
          <w:rFonts w:ascii="Verdana" w:eastAsia="Batang" w:hAnsi="Verdana"/>
          <w:bCs/>
          <w:sz w:val="20"/>
          <w:szCs w:val="20"/>
        </w:rPr>
        <w:t xml:space="preserve"> Registro Comercial, no caso de empresa individual;</w:t>
      </w:r>
    </w:p>
    <w:p w14:paraId="06360567"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II.</w:t>
      </w:r>
      <w:r>
        <w:rPr>
          <w:rFonts w:ascii="Verdana" w:eastAsia="Batang" w:hAnsi="Verdana"/>
          <w:bCs/>
          <w:sz w:val="20"/>
          <w:szCs w:val="20"/>
        </w:rPr>
        <w:t xml:space="preserve"> Ato Constitutivo, Estatuto ou Contrato Social e sua Consolidação ou alterações em vigor;</w:t>
      </w:r>
    </w:p>
    <w:p w14:paraId="6179EE1F"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III.</w:t>
      </w:r>
      <w:r>
        <w:rPr>
          <w:rFonts w:ascii="Verdana" w:eastAsia="Batang" w:hAnsi="Verdana"/>
          <w:bCs/>
          <w:sz w:val="20"/>
          <w:szCs w:val="20"/>
        </w:rPr>
        <w:t xml:space="preserve"> Decreto de Autorização, em se tratando de empresa ou sociedade estrangeira em funcionamento no País, e ato de registro ou autorização para funcionamento expedido pelo órgão competente, quando a atividade assim o exigir;</w:t>
      </w:r>
    </w:p>
    <w:p w14:paraId="1DB113D3"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IV.</w:t>
      </w:r>
      <w:r>
        <w:rPr>
          <w:rFonts w:ascii="Verdana" w:eastAsia="Batang" w:hAnsi="Verdana"/>
          <w:bCs/>
          <w:sz w:val="20"/>
          <w:szCs w:val="20"/>
        </w:rPr>
        <w:t xml:space="preserve"> Inscrição do Ato Constitutivo, no caso de sociedades civis, acompanhada de documento de eleição da diretoria em exercício;</w:t>
      </w:r>
    </w:p>
    <w:p w14:paraId="2D524318"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V.</w:t>
      </w:r>
      <w:r>
        <w:rPr>
          <w:rFonts w:ascii="Verdana" w:eastAsia="Batang" w:hAnsi="Verdana"/>
          <w:bCs/>
          <w:sz w:val="20"/>
          <w:szCs w:val="20"/>
        </w:rPr>
        <w:t xml:space="preserve"> Certificado Da Condição De Microempreendedor Individual – CCMEI, em se tratando se Microempreendedor Individual.</w:t>
      </w:r>
    </w:p>
    <w:p w14:paraId="47E4C776"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u w:val="single"/>
        </w:rPr>
        <w:t>10.4 - Regularidade Fiscal e Trabalhista</w:t>
      </w:r>
    </w:p>
    <w:p w14:paraId="2EC4C83E"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I.</w:t>
      </w:r>
      <w:r>
        <w:rPr>
          <w:rFonts w:ascii="Verdana" w:eastAsia="Batang" w:hAnsi="Verdana"/>
          <w:bCs/>
          <w:sz w:val="20"/>
          <w:szCs w:val="20"/>
        </w:rPr>
        <w:t xml:space="preserve"> Prova de inscrição no Cadastro Nacional de Pessoa Jurídica </w:t>
      </w:r>
      <w:r>
        <w:rPr>
          <w:rFonts w:ascii="Verdana" w:eastAsia="Batang" w:hAnsi="Verdana"/>
          <w:b/>
          <w:sz w:val="20"/>
          <w:szCs w:val="20"/>
        </w:rPr>
        <w:t>(cartão do CNPJ);</w:t>
      </w:r>
    </w:p>
    <w:p w14:paraId="4E42CC36"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II.</w:t>
      </w:r>
      <w:r>
        <w:rPr>
          <w:rFonts w:ascii="Verdana" w:eastAsia="Batang" w:hAnsi="Verdana"/>
          <w:bCs/>
          <w:sz w:val="20"/>
          <w:szCs w:val="20"/>
        </w:rPr>
        <w:t xml:space="preserve"> Inscrição no cadastro de contribuintes estadual e/ou municipal, se houver, relativo ao domicílio ou sede do licitante, pertinente ao seu ramo de atividade e compatível com o objeto contratual;</w:t>
      </w:r>
    </w:p>
    <w:p w14:paraId="73A11DB6" w14:textId="77777777" w:rsidR="007E48E9" w:rsidRDefault="00000000">
      <w:pPr>
        <w:widowControl w:val="0"/>
        <w:tabs>
          <w:tab w:val="left" w:pos="420"/>
        </w:tabs>
        <w:spacing w:before="57" w:after="57" w:line="276" w:lineRule="auto"/>
        <w:jc w:val="both"/>
        <w:rPr>
          <w:rFonts w:ascii="Verdana" w:hAnsi="Verdana"/>
          <w:sz w:val="20"/>
          <w:szCs w:val="20"/>
        </w:rPr>
      </w:pPr>
      <w:r>
        <w:rPr>
          <w:rFonts w:ascii="Verdana" w:eastAsia="Batang" w:hAnsi="Verdana"/>
          <w:b/>
          <w:sz w:val="20"/>
          <w:szCs w:val="20"/>
        </w:rPr>
        <w:t>III.</w:t>
      </w:r>
      <w:r>
        <w:rPr>
          <w:rFonts w:ascii="Verdana" w:eastAsia="Batang" w:hAnsi="Verdana"/>
          <w:bCs/>
          <w:sz w:val="20"/>
          <w:szCs w:val="20"/>
        </w:rPr>
        <w:t xml:space="preserve"> Prova de Regularidade com a </w:t>
      </w:r>
      <w:r>
        <w:rPr>
          <w:rFonts w:ascii="Verdana" w:hAnsi="Verdana"/>
          <w:sz w:val="20"/>
          <w:szCs w:val="20"/>
        </w:rPr>
        <w:t xml:space="preserve">Fazenda Pública </w:t>
      </w:r>
      <w:r>
        <w:rPr>
          <w:rFonts w:ascii="Verdana" w:hAnsi="Verdana"/>
          <w:b/>
          <w:sz w:val="20"/>
          <w:szCs w:val="20"/>
        </w:rPr>
        <w:t>Federal,</w:t>
      </w:r>
      <w:r>
        <w:rPr>
          <w:rFonts w:ascii="Verdana" w:hAnsi="Verdana"/>
          <w:sz w:val="20"/>
          <w:szCs w:val="20"/>
        </w:rPr>
        <w:t xml:space="preserve"> </w:t>
      </w:r>
      <w:r>
        <w:rPr>
          <w:rFonts w:ascii="Verdana" w:hAnsi="Verdana"/>
          <w:b/>
          <w:sz w:val="20"/>
          <w:szCs w:val="20"/>
        </w:rPr>
        <w:t>(Quitação de tributos e contribuições Federais e Quanto à dívida ativa da União)</w:t>
      </w:r>
      <w:r>
        <w:rPr>
          <w:rFonts w:ascii="Verdana" w:hAnsi="Verdana"/>
          <w:sz w:val="20"/>
          <w:szCs w:val="20"/>
        </w:rPr>
        <w:t xml:space="preserve">, e junto ao </w:t>
      </w:r>
      <w:r>
        <w:rPr>
          <w:rFonts w:ascii="Verdana" w:hAnsi="Verdana"/>
          <w:b/>
          <w:sz w:val="20"/>
          <w:szCs w:val="20"/>
        </w:rPr>
        <w:t>INSS</w:t>
      </w:r>
      <w:r>
        <w:rPr>
          <w:rFonts w:ascii="Verdana" w:hAnsi="Verdana"/>
          <w:sz w:val="20"/>
          <w:szCs w:val="20"/>
        </w:rPr>
        <w:t>, conforme Portaria MF nº 358 de 05/09/2014.</w:t>
      </w:r>
    </w:p>
    <w:p w14:paraId="06FDD71E"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IV.</w:t>
      </w:r>
      <w:r>
        <w:rPr>
          <w:rFonts w:ascii="Verdana" w:eastAsia="Batang" w:hAnsi="Verdana"/>
          <w:bCs/>
          <w:sz w:val="20"/>
          <w:szCs w:val="20"/>
        </w:rPr>
        <w:t xml:space="preserve"> Prova de Regularidade com a Fazenda Pública do Estado onde for sediada a empresa;</w:t>
      </w:r>
    </w:p>
    <w:p w14:paraId="53324116"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V.</w:t>
      </w:r>
      <w:r>
        <w:rPr>
          <w:rFonts w:ascii="Verdana" w:eastAsia="Batang" w:hAnsi="Verdana"/>
          <w:bCs/>
          <w:sz w:val="20"/>
          <w:szCs w:val="20"/>
        </w:rPr>
        <w:t xml:space="preserve"> Prova de Regularidade com a Fazenda Pública do Município onde for sediada a empresa;</w:t>
      </w:r>
    </w:p>
    <w:p w14:paraId="49F7C2C2"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VI.</w:t>
      </w:r>
      <w:r>
        <w:rPr>
          <w:rFonts w:ascii="Verdana" w:eastAsia="Batang" w:hAnsi="Verdana"/>
          <w:bCs/>
          <w:sz w:val="20"/>
          <w:szCs w:val="20"/>
        </w:rPr>
        <w:t xml:space="preserve"> Prova de regularidade relativa à Seguridade Social e ao Fundo de Garantia por Tempo de Serviço – FGTS;</w:t>
      </w:r>
    </w:p>
    <w:p w14:paraId="40F7572E" w14:textId="77777777" w:rsidR="007E48E9" w:rsidRDefault="00000000">
      <w:pPr>
        <w:widowControl w:val="0"/>
        <w:tabs>
          <w:tab w:val="left" w:pos="-1980"/>
          <w:tab w:val="left" w:pos="360"/>
        </w:tabs>
        <w:spacing w:before="57" w:after="57" w:line="276" w:lineRule="auto"/>
        <w:jc w:val="both"/>
        <w:rPr>
          <w:rFonts w:ascii="Verdana" w:hAnsi="Verdana"/>
          <w:sz w:val="20"/>
          <w:szCs w:val="20"/>
        </w:rPr>
      </w:pPr>
      <w:r>
        <w:rPr>
          <w:rFonts w:ascii="Verdana" w:eastAsia="Batang" w:hAnsi="Verdana"/>
          <w:b/>
          <w:sz w:val="20"/>
          <w:szCs w:val="20"/>
        </w:rPr>
        <w:t>VII.</w:t>
      </w:r>
      <w:r>
        <w:rPr>
          <w:rFonts w:ascii="Verdana" w:eastAsia="Batang" w:hAnsi="Verdana"/>
          <w:bCs/>
          <w:sz w:val="20"/>
          <w:szCs w:val="20"/>
        </w:rPr>
        <w:t xml:space="preserve"> Prova de Inexistência de Débitos inadimplidos perante a Justiça do Trabalho </w:t>
      </w:r>
      <w:r>
        <w:rPr>
          <w:rFonts w:ascii="Verdana" w:hAnsi="Verdana"/>
          <w:sz w:val="20"/>
          <w:szCs w:val="20"/>
        </w:rPr>
        <w:t>(</w:t>
      </w:r>
      <w:r>
        <w:rPr>
          <w:rFonts w:ascii="Verdana" w:hAnsi="Verdana"/>
          <w:b/>
          <w:sz w:val="20"/>
          <w:szCs w:val="20"/>
        </w:rPr>
        <w:t>CNDT</w:t>
      </w:r>
      <w:r>
        <w:rPr>
          <w:rFonts w:ascii="Verdana" w:hAnsi="Verdana"/>
          <w:sz w:val="20"/>
          <w:szCs w:val="20"/>
        </w:rPr>
        <w:t>) de acordo com a Lei n° 12.440 de 7 de julho de 2011.</w:t>
      </w:r>
    </w:p>
    <w:p w14:paraId="6BD85D38"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10.4.1 -</w:t>
      </w:r>
      <w:r>
        <w:rPr>
          <w:rFonts w:ascii="Verdana" w:eastAsia="Batang" w:hAnsi="Verdana"/>
          <w:bCs/>
          <w:sz w:val="20"/>
          <w:szCs w:val="20"/>
        </w:rPr>
        <w:t xml:space="preserve"> Sob pena de inabilitação, todos os documentos apresentados para fins de habilitação deverão conter o nome do licitante e, preferencialmente, com número do CNPJ e endereço respectivo, observando-se que:</w:t>
      </w:r>
    </w:p>
    <w:p w14:paraId="667D218E"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10.4.1.1 -</w:t>
      </w:r>
      <w:r>
        <w:rPr>
          <w:rFonts w:ascii="Verdana" w:eastAsia="Batang" w:hAnsi="Verdana"/>
          <w:bCs/>
          <w:sz w:val="20"/>
          <w:szCs w:val="20"/>
        </w:rPr>
        <w:t xml:space="preserve"> Se o licitante for a matriz, todos os documentos deverão estar em nome da matriz;</w:t>
      </w:r>
    </w:p>
    <w:p w14:paraId="697D3A4C"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10.4.1.2 -</w:t>
      </w:r>
      <w:r>
        <w:rPr>
          <w:rFonts w:ascii="Verdana" w:eastAsia="Batang" w:hAnsi="Verdana"/>
          <w:bCs/>
          <w:sz w:val="20"/>
          <w:szCs w:val="20"/>
        </w:rPr>
        <w:t xml:space="preserve"> Se o licitante for a filial, todos os documentos deverão estar em nome da filial;</w:t>
      </w:r>
    </w:p>
    <w:p w14:paraId="04325D2A"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10.4.1.3 -</w:t>
      </w:r>
      <w:r>
        <w:rPr>
          <w:rFonts w:ascii="Verdana" w:eastAsia="Batang" w:hAnsi="Verdana"/>
          <w:bCs/>
          <w:sz w:val="20"/>
          <w:szCs w:val="20"/>
        </w:rPr>
        <w:t xml:space="preserve"> Se o licitante for matriz e a responsável pela execução da contratação for filial, a documentação deverá ser apresentada com CNPJ da matriz e da filial, simultaneamente;</w:t>
      </w:r>
    </w:p>
    <w:p w14:paraId="1B2CC8C9"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10.4.1.4 -</w:t>
      </w:r>
      <w:r>
        <w:rPr>
          <w:rFonts w:ascii="Verdana" w:eastAsia="Batang" w:hAnsi="Verdana"/>
          <w:bCs/>
          <w:sz w:val="20"/>
          <w:szCs w:val="20"/>
        </w:rPr>
        <w:t xml:space="preserve"> Serão dispensados da filial aqueles documentos que, pela própria natureza, comprovadamente, forem emitidos somente em nome da matriz;</w:t>
      </w:r>
    </w:p>
    <w:p w14:paraId="201F8729"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10.4.1.5 -</w:t>
      </w:r>
      <w:r>
        <w:rPr>
          <w:rFonts w:ascii="Verdana" w:eastAsia="Batang" w:hAnsi="Verdana"/>
          <w:bCs/>
          <w:sz w:val="20"/>
          <w:szCs w:val="20"/>
        </w:rPr>
        <w:t xml:space="preserve"> Figuram como exceções as certidões cuja abrangência atinge tanto a empresa matriz quanto as filiais (INSS e PGFN/RFB).</w:t>
      </w:r>
    </w:p>
    <w:p w14:paraId="7490F5F3"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lastRenderedPageBreak/>
        <w:t>10.4.2 -</w:t>
      </w:r>
      <w:r>
        <w:rPr>
          <w:rFonts w:ascii="Verdana" w:eastAsia="Batang" w:hAnsi="Verdana"/>
          <w:bCs/>
          <w:sz w:val="20"/>
          <w:szCs w:val="20"/>
        </w:rPr>
        <w:t xml:space="preserve"> O Pregoeiro e a equipe de apoio durante a análise dos documentos de habilitação procederão à validação das certidões negativas/positivas apresentadas nos sites dos órgãos oficiais (Receita Federal, Procuradoria Geral da Fazenda Nacional, Caixa Econômica Federal, Previdência Social, Secretarias da Fazenda e Tribunal Superior do Trabalho).</w:t>
      </w:r>
    </w:p>
    <w:p w14:paraId="7838651C"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10.4.3 -</w:t>
      </w:r>
      <w:r>
        <w:rPr>
          <w:rFonts w:ascii="Verdana" w:eastAsia="Batang" w:hAnsi="Verdana"/>
          <w:bCs/>
          <w:sz w:val="20"/>
          <w:szCs w:val="20"/>
        </w:rPr>
        <w:t xml:space="preserve"> Os documentos que não possuírem prazo de vigência estabelecido pelo órgão expedidor deverão ser datados dos últimos 180 (cento e oitenta) dias anteriores à data de abertura do Pregão, exceto a prova de cadastro no Cadastro Nacional de Pessoas Jurídicas (CNPJ).</w:t>
      </w:r>
    </w:p>
    <w:p w14:paraId="268BCA80" w14:textId="77777777" w:rsidR="007E48E9" w:rsidRDefault="00000000">
      <w:pPr>
        <w:spacing w:before="57" w:after="57" w:line="276" w:lineRule="auto"/>
        <w:rPr>
          <w:rFonts w:ascii="Verdana" w:hAnsi="Verdana"/>
          <w:sz w:val="20"/>
          <w:szCs w:val="20"/>
        </w:rPr>
      </w:pPr>
      <w:r>
        <w:rPr>
          <w:rFonts w:ascii="Verdana" w:eastAsia="Batang" w:hAnsi="Verdana"/>
          <w:b/>
          <w:sz w:val="20"/>
          <w:szCs w:val="20"/>
        </w:rPr>
        <w:t xml:space="preserve">10.5 - </w:t>
      </w:r>
      <w:r>
        <w:rPr>
          <w:rFonts w:ascii="Verdana" w:eastAsia="Batang" w:hAnsi="Verdana"/>
          <w:b/>
          <w:sz w:val="20"/>
          <w:szCs w:val="20"/>
          <w:u w:val="single"/>
        </w:rPr>
        <w:t>Qualificação Econômica Financeira</w:t>
      </w:r>
    </w:p>
    <w:p w14:paraId="5BE4568E"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hAnsi="Verdana"/>
          <w:b/>
          <w:sz w:val="20"/>
          <w:szCs w:val="20"/>
        </w:rPr>
        <w:t xml:space="preserve">10.5.1 </w:t>
      </w:r>
      <w:r>
        <w:rPr>
          <w:rFonts w:ascii="Verdana" w:eastAsia="Batang" w:hAnsi="Verdana"/>
          <w:bCs/>
          <w:sz w:val="20"/>
          <w:szCs w:val="20"/>
        </w:rPr>
        <w:t>- CERTIDÃO NEGATIVA DE FALÊNCIA, expedida pelos Cartórios Distribuidores competentes da sede da pessoa jurídica, emitida há, no máximo, 60 (sessenta) dias, quando outro prazo de validade não estiver expresso no documento.</w:t>
      </w:r>
    </w:p>
    <w:p w14:paraId="61D97F6B"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10.5.1.1 -</w:t>
      </w:r>
      <w:r>
        <w:rPr>
          <w:rFonts w:ascii="Verdana" w:eastAsia="Batang" w:hAnsi="Verdana"/>
          <w:bCs/>
          <w:sz w:val="20"/>
          <w:szCs w:val="20"/>
        </w:rPr>
        <w:t xml:space="preserve"> As empresas que apresentarem certidão positiva de RECUPERAÇÃO JUDICIAL poderão participar desta licitação desde que o Juízo em que tramita o procedimento dispense a apresentação da Certidão Negativa de Recuperação Judicial ou certifique que a empresa está em condições de contratar com a Administração Pública;</w:t>
      </w:r>
    </w:p>
    <w:p w14:paraId="6FFA130B"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10.5.1.2 -</w:t>
      </w:r>
      <w:r>
        <w:rPr>
          <w:rFonts w:ascii="Verdana" w:eastAsia="Batang" w:hAnsi="Verdana"/>
          <w:bCs/>
          <w:sz w:val="20"/>
          <w:szCs w:val="20"/>
        </w:rPr>
        <w:t xml:space="preserve"> O fato de o licitante encontrar-se em situação de Recuperação Judicial não o exime de comprovar sua qualificação econômico-financeira, pela apresentação de índices ou comprovação de Capital Social/Patrimônio Líquido mínimo, caso seja exigida neste instrumento.</w:t>
      </w:r>
    </w:p>
    <w:p w14:paraId="67B991C4"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10.6 – Qualificação Técnica</w:t>
      </w:r>
    </w:p>
    <w:p w14:paraId="551A074F"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 xml:space="preserve">10.6.1 </w:t>
      </w:r>
      <w:r>
        <w:rPr>
          <w:rFonts w:ascii="Verdana" w:eastAsia="Batang" w:hAnsi="Verdana"/>
          <w:bCs/>
          <w:sz w:val="20"/>
          <w:szCs w:val="20"/>
        </w:rPr>
        <w:t xml:space="preserve">– </w:t>
      </w:r>
      <w:r>
        <w:rPr>
          <w:rFonts w:ascii="Verdana" w:eastAsia="Batang" w:hAnsi="Verdana"/>
          <w:b/>
          <w:sz w:val="20"/>
          <w:szCs w:val="20"/>
        </w:rPr>
        <w:t>Declaração de disponibilidade -</w:t>
      </w:r>
      <w:r>
        <w:rPr>
          <w:rFonts w:ascii="Verdana" w:eastAsia="Batang" w:hAnsi="Verdana"/>
          <w:bCs/>
          <w:sz w:val="20"/>
          <w:szCs w:val="20"/>
        </w:rPr>
        <w:t xml:space="preserve"> Declaração formal, firmada pelo representante legal da empresa, de que possui condições de atender ao objeto desta licitação com o sistema solicitado neste edital.</w:t>
      </w:r>
    </w:p>
    <w:p w14:paraId="62974C3F"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 xml:space="preserve">10.6.2 – Atestado de Capacidade Técnica </w:t>
      </w:r>
      <w:r>
        <w:rPr>
          <w:rFonts w:ascii="Verdana" w:eastAsia="Batang" w:hAnsi="Verdana"/>
          <w:bCs/>
          <w:sz w:val="20"/>
          <w:szCs w:val="20"/>
        </w:rPr>
        <w:t xml:space="preserve">- em nome da empresa licitante, fornecido(s) por empresa, órgãos ou entidades da Administração Pública, que comprove(m) a aptidão para o fornecimento compatível com as características indicadas no Termo de Referência - ANEXO I, </w:t>
      </w:r>
      <w:r>
        <w:rPr>
          <w:rFonts w:ascii="Verdana" w:hAnsi="Verdana"/>
          <w:sz w:val="20"/>
          <w:szCs w:val="20"/>
        </w:rPr>
        <w:t>abrangendo todos os softwares licitados.</w:t>
      </w:r>
    </w:p>
    <w:p w14:paraId="6154F1F7"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 xml:space="preserve">10.6.2.1 – </w:t>
      </w:r>
      <w:r>
        <w:rPr>
          <w:rFonts w:ascii="Verdana" w:eastAsia="Batang" w:hAnsi="Verdana"/>
          <w:bCs/>
          <w:sz w:val="20"/>
          <w:szCs w:val="20"/>
        </w:rPr>
        <w:t xml:space="preserve">O(s) atestado(s) deve(m) ser emitido(s) em papel timbrado da empresa contratante, assinado por seu representante legal, discriminando o teor da contratação e os dados da empresa contratada. </w:t>
      </w:r>
    </w:p>
    <w:p w14:paraId="12D36BD9"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10.6.3 – Comprovação que é proprietária dos sistemas ofertados</w:t>
      </w:r>
      <w:r>
        <w:rPr>
          <w:rFonts w:ascii="Verdana" w:eastAsia="Batang" w:hAnsi="Verdana"/>
          <w:bCs/>
          <w:sz w:val="20"/>
          <w:szCs w:val="20"/>
        </w:rPr>
        <w:t>, ou, que não é proprietária, mas possui autorização para licenciamento de uso dos sistemas englobando cessão do direito de uso, instalação, implantação, treinamento, customização, migração, adequação, suporte técnico, atualização tecnológica e assistência técnica, anexando a cópia do instrumento de contrato, onde esteja explicitado tais condições.</w:t>
      </w:r>
    </w:p>
    <w:p w14:paraId="53DD1283"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10.6.4 – Declaração que dispõe de instalações, pessoal especializado, máquinas e equipamentos</w:t>
      </w:r>
      <w:r>
        <w:rPr>
          <w:rFonts w:ascii="Verdana" w:eastAsia="Batang" w:hAnsi="Verdana"/>
          <w:bCs/>
          <w:sz w:val="20"/>
          <w:szCs w:val="20"/>
        </w:rPr>
        <w:t xml:space="preserve"> para atendimento aos serviços solicitados e que os sistemas ofertados atendem especificações constantes no Termo de Referência, os quais estão disponíveis nas quantidades e qualidades mínimas necessárias ao cumprimento da presente licitação</w:t>
      </w:r>
    </w:p>
    <w:p w14:paraId="631C0BA5"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 xml:space="preserve">10.6.5 – </w:t>
      </w:r>
      <w:r>
        <w:rPr>
          <w:rFonts w:ascii="Verdana" w:eastAsia="Batang" w:hAnsi="Verdana"/>
          <w:sz w:val="20"/>
          <w:szCs w:val="20"/>
        </w:rPr>
        <w:t>A</w:t>
      </w:r>
      <w:r>
        <w:rPr>
          <w:rFonts w:ascii="Verdana" w:eastAsia="Batang" w:hAnsi="Verdana"/>
          <w:b/>
          <w:sz w:val="20"/>
          <w:szCs w:val="20"/>
        </w:rPr>
        <w:t xml:space="preserve"> </w:t>
      </w:r>
      <w:r>
        <w:rPr>
          <w:rFonts w:ascii="Verdana" w:eastAsia="Times New Roman" w:hAnsi="Verdana" w:cs="Arial"/>
          <w:sz w:val="20"/>
          <w:szCs w:val="20"/>
          <w:shd w:val="clear" w:color="auto" w:fill="FFFFFF"/>
        </w:rPr>
        <w:t>Caixa de Assistência dos Servidores Públicos do Município de São Gabriel da Palha</w:t>
      </w:r>
      <w:r>
        <w:rPr>
          <w:rFonts w:ascii="Verdana" w:eastAsia="Batang" w:hAnsi="Verdana"/>
          <w:bCs/>
          <w:sz w:val="20"/>
          <w:szCs w:val="20"/>
        </w:rPr>
        <w:t xml:space="preserve"> poderá promover diligências para averiguar a veracidade das informações constantes nos documentos apresentados, caso julgue necessário, estando sujeita à inabilitação, a licitante que apresentar documentos em desacordo com as informações obtidas pela Equipe de Pregão, além de incorrer nas sanções previstas na Lei n° 14.133/2021.</w:t>
      </w:r>
    </w:p>
    <w:p w14:paraId="45F7B3E6"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b/>
          <w:bCs/>
          <w:sz w:val="20"/>
          <w:szCs w:val="20"/>
        </w:rPr>
      </w:pPr>
      <w:r>
        <w:rPr>
          <w:rFonts w:ascii="Verdana" w:eastAsia="Batang" w:hAnsi="Verdana"/>
          <w:b/>
          <w:bCs/>
          <w:sz w:val="20"/>
          <w:szCs w:val="20"/>
        </w:rPr>
        <w:lastRenderedPageBreak/>
        <w:t>10.7 - Regularidade Fiscal e Trabalhista de Microempresa ou Empresa de Pequeno Porte</w:t>
      </w:r>
    </w:p>
    <w:p w14:paraId="4ABD5B2A"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10.7.1 -</w:t>
      </w:r>
      <w:r>
        <w:rPr>
          <w:rFonts w:ascii="Verdana" w:eastAsia="Batang" w:hAnsi="Verdana"/>
          <w:bCs/>
          <w:sz w:val="20"/>
          <w:szCs w:val="20"/>
        </w:rPr>
        <w:t xml:space="preserve"> O licitante deverá apresentar na etapa de habilitação, todos os documentos exigidos para efeito de comprovação de regularidade fiscal, mesmo que apresentem alguma restrição;</w:t>
      </w:r>
    </w:p>
    <w:p w14:paraId="5D5F4794"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10.7.2 -</w:t>
      </w:r>
      <w:r>
        <w:rPr>
          <w:rFonts w:ascii="Verdana" w:eastAsia="Batang" w:hAnsi="Verdana"/>
          <w:bCs/>
          <w:sz w:val="20"/>
          <w:szCs w:val="20"/>
        </w:rPr>
        <w:t xml:space="preserve"> Havendo alguma restrição na comprovação da regularidade fiscal, é assegurado o prazo de 5 (cinco) dias úteis, contados da apresentação dos documentos, para a regularização da documentação, pagamento ou parcelamento do débito, e emissão de eventuais certidões negativas ou positivas com efeito de certidão negativa, nos termos do art. 43, §1º, da Lei Complementar nº 123/2006;</w:t>
      </w:r>
    </w:p>
    <w:p w14:paraId="2B49D321"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10.7.3 -</w:t>
      </w:r>
      <w:r>
        <w:rPr>
          <w:rFonts w:ascii="Verdana" w:eastAsia="Batang" w:hAnsi="Verdana"/>
          <w:bCs/>
          <w:sz w:val="20"/>
          <w:szCs w:val="20"/>
        </w:rPr>
        <w:t xml:space="preserve"> O prazo acima poderá, a critério do </w:t>
      </w:r>
      <w:r>
        <w:rPr>
          <w:rFonts w:ascii="Verdana" w:eastAsia="Times New Roman" w:hAnsi="Verdana" w:cs="Arial"/>
          <w:bCs/>
          <w:sz w:val="20"/>
          <w:szCs w:val="20"/>
          <w:shd w:val="clear" w:color="auto" w:fill="FFFFFF"/>
        </w:rPr>
        <w:t>Caixa de Assistência dos Servidores Públicos do Município de São Gabriel da Palha</w:t>
      </w:r>
      <w:r>
        <w:rPr>
          <w:rFonts w:ascii="Verdana" w:eastAsia="Batang" w:hAnsi="Verdana"/>
          <w:bCs/>
          <w:sz w:val="20"/>
          <w:szCs w:val="20"/>
        </w:rPr>
        <w:t>, ser prorrogado uma única vez, por igual período;</w:t>
      </w:r>
    </w:p>
    <w:p w14:paraId="4A357513"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10.7.4 -</w:t>
      </w:r>
      <w:r>
        <w:rPr>
          <w:rFonts w:ascii="Verdana" w:eastAsia="Batang" w:hAnsi="Verdana"/>
          <w:bCs/>
          <w:sz w:val="20"/>
          <w:szCs w:val="20"/>
        </w:rPr>
        <w:t xml:space="preserve"> A formalização da contratação fica condicionada à regularização da documentação comprobatória de regularidade fiscal, sob pena de decadência do direito à contratação, sem prejuízo da aplicação das sanções previstas na Lei nº 14.133/2021, sendo facultado a </w:t>
      </w:r>
      <w:r>
        <w:rPr>
          <w:rFonts w:ascii="Verdana" w:eastAsia="Times New Roman" w:hAnsi="Verdana" w:cs="Arial"/>
          <w:bCs/>
          <w:sz w:val="20"/>
          <w:szCs w:val="20"/>
          <w:shd w:val="clear" w:color="auto" w:fill="FFFFFF"/>
        </w:rPr>
        <w:t>Caixa de Assistência dos Servidores Públicos do Município de São Gabriel da Palha,</w:t>
      </w:r>
      <w:r>
        <w:rPr>
          <w:rFonts w:ascii="Verdana" w:eastAsia="Batang" w:hAnsi="Verdana"/>
          <w:bCs/>
          <w:sz w:val="20"/>
          <w:szCs w:val="20"/>
        </w:rPr>
        <w:t xml:space="preserve"> convocar os licitantes remanescentes e com elas contratar, observada a ordem de classificação, ou revogar a licitação.</w:t>
      </w:r>
    </w:p>
    <w:p w14:paraId="7FD93CCE"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u w:val="single"/>
        </w:rPr>
        <w:t>10.8 - Comprovação da Condição de Microempresa ou Empresa de Pequeno Porte</w:t>
      </w:r>
    </w:p>
    <w:p w14:paraId="4BFEA20C"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10.8.1 -</w:t>
      </w:r>
      <w:r>
        <w:rPr>
          <w:rFonts w:ascii="Verdana" w:eastAsia="Batang" w:hAnsi="Verdana"/>
          <w:bCs/>
          <w:sz w:val="20"/>
          <w:szCs w:val="20"/>
        </w:rPr>
        <w:t xml:space="preserve"> O licitante enquadrado como Microempresa ou Empresa de Pequeno Porte que desejar obter os tratamentos previstos na Lei Complementar nº 123/2006 deverá apresentar a CERTIDÃO EXPEDIDA PELA JUNTA COMERCIAL, seguindo a previsão da Instrução Normativa DREI nº 81, de 10 de junho de 2020 ou norma que venha a substituí-la.</w:t>
      </w:r>
    </w:p>
    <w:p w14:paraId="029B7FE7"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10.8.2 -</w:t>
      </w:r>
      <w:r>
        <w:rPr>
          <w:rFonts w:ascii="Verdana" w:eastAsia="Batang" w:hAnsi="Verdana"/>
          <w:bCs/>
          <w:sz w:val="20"/>
          <w:szCs w:val="20"/>
        </w:rPr>
        <w:t xml:space="preserve"> Caso o licitante enquadrado como Microempresa ou Empresa de Pequeno Porte seja optante pelo Sistema Simples Nacional de Tributação, regido pela Lei Complementar nº 123/2006, deverá apresentar também o comprovante de opção obtido no site do Ministério da Fazenda (http://www8.receita.fazenda.gov.br/</w:t>
      </w:r>
      <w:proofErr w:type="spellStart"/>
      <w:r>
        <w:rPr>
          <w:rFonts w:ascii="Verdana" w:eastAsia="Batang" w:hAnsi="Verdana"/>
          <w:bCs/>
          <w:sz w:val="20"/>
          <w:szCs w:val="20"/>
        </w:rPr>
        <w:t>SimplesNacional</w:t>
      </w:r>
      <w:proofErr w:type="spellEnd"/>
      <w:r>
        <w:rPr>
          <w:rFonts w:ascii="Verdana" w:eastAsia="Batang" w:hAnsi="Verdana"/>
          <w:bCs/>
          <w:sz w:val="20"/>
          <w:szCs w:val="20"/>
        </w:rPr>
        <w:t>).</w:t>
      </w:r>
    </w:p>
    <w:p w14:paraId="228676B8"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10.8.3 -</w:t>
      </w:r>
      <w:r>
        <w:rPr>
          <w:rFonts w:ascii="Verdana" w:eastAsia="Batang" w:hAnsi="Verdana"/>
          <w:bCs/>
          <w:sz w:val="20"/>
          <w:szCs w:val="20"/>
        </w:rPr>
        <w:t xml:space="preserve"> O licitante que apresentar declaração falsa responderá por seus atos na esfera civil, penal e administrativa.</w:t>
      </w:r>
      <w:bookmarkEnd w:id="6"/>
    </w:p>
    <w:p w14:paraId="1B85345C" w14:textId="77777777" w:rsidR="007E48E9" w:rsidRDefault="007E48E9">
      <w:pPr>
        <w:spacing w:before="57" w:after="57" w:line="276" w:lineRule="auto"/>
        <w:jc w:val="both"/>
        <w:rPr>
          <w:rFonts w:ascii="Verdana" w:hAnsi="Verdana"/>
          <w:sz w:val="20"/>
          <w:szCs w:val="20"/>
        </w:rPr>
      </w:pPr>
    </w:p>
    <w:p w14:paraId="60366AC9" w14:textId="77777777" w:rsidR="007E48E9" w:rsidRDefault="00000000">
      <w:pPr>
        <w:pBdr>
          <w:bottom w:val="double" w:sz="4" w:space="1" w:color="000000"/>
        </w:pBdr>
        <w:tabs>
          <w:tab w:val="left" w:pos="0"/>
          <w:tab w:val="left" w:pos="1182"/>
        </w:tabs>
        <w:spacing w:before="57" w:after="57" w:line="276" w:lineRule="auto"/>
        <w:rPr>
          <w:rFonts w:ascii="Verdana" w:hAnsi="Verdana"/>
          <w:sz w:val="20"/>
          <w:szCs w:val="20"/>
        </w:rPr>
      </w:pPr>
      <w:r>
        <w:rPr>
          <w:rFonts w:ascii="Verdana" w:eastAsia="Batang" w:hAnsi="Verdana"/>
          <w:b/>
          <w:sz w:val="20"/>
          <w:szCs w:val="20"/>
        </w:rPr>
        <w:t>XI – DA ACEITABILIDADE DA PROPOSTA</w:t>
      </w:r>
    </w:p>
    <w:p w14:paraId="22AB9828"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11.1</w:t>
      </w:r>
      <w:r>
        <w:rPr>
          <w:rFonts w:ascii="Verdana" w:eastAsia="Batang" w:hAnsi="Verdana"/>
          <w:sz w:val="20"/>
          <w:szCs w:val="20"/>
        </w:rPr>
        <w:t xml:space="preserve"> </w:t>
      </w:r>
      <w:r>
        <w:rPr>
          <w:rFonts w:ascii="Verdana" w:eastAsia="Batang" w:hAnsi="Verdana"/>
          <w:b/>
          <w:sz w:val="20"/>
          <w:szCs w:val="20"/>
        </w:rPr>
        <w:t>-</w:t>
      </w:r>
      <w:r>
        <w:rPr>
          <w:rFonts w:ascii="Verdana" w:eastAsia="Batang" w:hAnsi="Verdana"/>
          <w:sz w:val="20"/>
          <w:szCs w:val="20"/>
        </w:rPr>
        <w:t xml:space="preserve"> O Pregoeiro convocará o vencedor do certame e fixará prazo para enviar, pelo sistema, a PROPOSTA ATUALIZADA, em conformidade com o último lance ofertado ou valor negociado.</w:t>
      </w:r>
    </w:p>
    <w:p w14:paraId="2BF90907" w14:textId="77777777" w:rsidR="007E48E9" w:rsidRDefault="00000000">
      <w:pPr>
        <w:spacing w:before="57" w:after="57" w:line="276" w:lineRule="auto"/>
        <w:jc w:val="both"/>
      </w:pPr>
      <w:r>
        <w:rPr>
          <w:rFonts w:ascii="Verdana" w:eastAsia="Batang" w:hAnsi="Verdana"/>
          <w:b/>
          <w:sz w:val="20"/>
          <w:szCs w:val="20"/>
        </w:rPr>
        <w:t>11.1.1 -</w:t>
      </w:r>
      <w:r>
        <w:rPr>
          <w:rFonts w:ascii="Verdana" w:eastAsia="Batang" w:hAnsi="Verdana"/>
          <w:bCs/>
          <w:sz w:val="20"/>
          <w:szCs w:val="20"/>
        </w:rPr>
        <w:t xml:space="preserve"> Quando por impossibilidade de carregamento do arquivo da proposta atualizada no Sistema de Compras do Governo Federal (www.gov.br/compras), será admitido o envio para o e-mail </w:t>
      </w:r>
      <w:hyperlink r:id="rId14">
        <w:r w:rsidR="007E48E9">
          <w:rPr>
            <w:rStyle w:val="Hyperlink"/>
            <w:rFonts w:ascii="Verdana" w:eastAsia="Batang" w:hAnsi="Verdana"/>
            <w:bCs/>
            <w:sz w:val="20"/>
            <w:szCs w:val="20"/>
          </w:rPr>
          <w:t>licitacao@saogabriel.es.gov.br</w:t>
        </w:r>
      </w:hyperlink>
      <w:r>
        <w:rPr>
          <w:rFonts w:ascii="Verdana" w:eastAsia="Batang" w:hAnsi="Verdana"/>
          <w:bCs/>
          <w:sz w:val="20"/>
          <w:szCs w:val="20"/>
        </w:rPr>
        <w:t>;</w:t>
      </w:r>
    </w:p>
    <w:p w14:paraId="0BDC2ADC"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11.1.1.1 -</w:t>
      </w:r>
      <w:r>
        <w:rPr>
          <w:rFonts w:ascii="Verdana" w:eastAsia="Batang" w:hAnsi="Verdana"/>
          <w:bCs/>
          <w:sz w:val="20"/>
          <w:szCs w:val="20"/>
        </w:rPr>
        <w:t xml:space="preserve"> No caso de envio por e-mail, será considerada a data e hora de efetivo recebimento na caixa postal da equipe de pregão.</w:t>
      </w:r>
    </w:p>
    <w:p w14:paraId="1865012E"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11.1.2 -</w:t>
      </w:r>
      <w:r>
        <w:rPr>
          <w:rFonts w:ascii="Verdana" w:eastAsia="Batang" w:hAnsi="Verdana"/>
          <w:bCs/>
          <w:sz w:val="20"/>
          <w:szCs w:val="20"/>
        </w:rPr>
        <w:t xml:space="preserve"> A prorrogação do prazo poderá ocorrer por solicitação do licitante, mediante justificativa aceita pelo Pregoeiro, bem como de ofício quando constatado que o prazo estabelecido não é suficiente para o envio dos documentos exigidos;</w:t>
      </w:r>
    </w:p>
    <w:p w14:paraId="75EB1195"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11.2 -</w:t>
      </w:r>
      <w:r>
        <w:rPr>
          <w:rFonts w:ascii="Verdana" w:eastAsia="Batang" w:hAnsi="Verdana"/>
          <w:bCs/>
          <w:sz w:val="20"/>
          <w:szCs w:val="20"/>
        </w:rPr>
        <w:t xml:space="preserve"> A Proposta Atualizada deverá ser entregue no sistema, sendo necessário o upload de seu arquivo, com a documentação complementar, quando exigida no edital, em moeda </w:t>
      </w:r>
      <w:r>
        <w:rPr>
          <w:rFonts w:ascii="Verdana" w:eastAsia="Batang" w:hAnsi="Verdana"/>
          <w:bCs/>
          <w:sz w:val="20"/>
          <w:szCs w:val="20"/>
        </w:rPr>
        <w:lastRenderedPageBreak/>
        <w:t>corrente do País, nas condições e especificações estabelecidas neste edital, seus anexos e sistema provedor.</w:t>
      </w:r>
    </w:p>
    <w:p w14:paraId="560E7318"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11.2.1</w:t>
      </w:r>
      <w:r>
        <w:rPr>
          <w:rFonts w:ascii="Verdana" w:eastAsia="Batang" w:hAnsi="Verdana"/>
          <w:bCs/>
          <w:sz w:val="20"/>
          <w:szCs w:val="20"/>
        </w:rPr>
        <w:t xml:space="preserve"> - Deverá constar na Proposta Atualizada:</w:t>
      </w:r>
    </w:p>
    <w:p w14:paraId="03624434"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11.2.1.1 -</w:t>
      </w:r>
      <w:r>
        <w:rPr>
          <w:rFonts w:ascii="Verdana" w:eastAsia="Batang" w:hAnsi="Verdana"/>
          <w:bCs/>
          <w:sz w:val="20"/>
          <w:szCs w:val="20"/>
        </w:rPr>
        <w:t xml:space="preserve"> Indicação dos valores unitários dos itens e totais por lote, no modelo apresentado em campo próprio do sistema provedor;</w:t>
      </w:r>
    </w:p>
    <w:p w14:paraId="6BDF2241"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11.2.1.2 -</w:t>
      </w:r>
      <w:r>
        <w:rPr>
          <w:rFonts w:ascii="Verdana" w:eastAsia="Batang" w:hAnsi="Verdana"/>
          <w:bCs/>
          <w:sz w:val="20"/>
          <w:szCs w:val="20"/>
        </w:rPr>
        <w:t xml:space="preserve"> Prazo de Validade da Proposta: não deverá ser inferior a 60 (sessenta) dias corridos, a contar da data de sua apresentação. Na ausência de indicação expressa do prazo de validade, considerar-se-á tacitamente indicado o prazo de 60 (sessenta) dias;</w:t>
      </w:r>
    </w:p>
    <w:p w14:paraId="6A320DA0"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11.2.1.3 -</w:t>
      </w:r>
      <w:r>
        <w:rPr>
          <w:rFonts w:ascii="Verdana" w:eastAsia="Batang" w:hAnsi="Verdana"/>
          <w:bCs/>
          <w:sz w:val="20"/>
          <w:szCs w:val="20"/>
        </w:rPr>
        <w:t xml:space="preserve"> Quando exigido, a indicação da MARCA, que deverá ser idêntica à apresentada inicialmente, quando do cadastramento da proposta comercial preliminar, no sistema provedor;</w:t>
      </w:r>
    </w:p>
    <w:p w14:paraId="1D419043"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11.2.1.4 -</w:t>
      </w:r>
      <w:r>
        <w:rPr>
          <w:rFonts w:ascii="Verdana" w:eastAsia="Batang" w:hAnsi="Verdana"/>
          <w:bCs/>
          <w:sz w:val="20"/>
          <w:szCs w:val="20"/>
        </w:rPr>
        <w:t xml:space="preserve"> Quando exigido, a indicação da modalidade de Garantia Contratual, conforme Art. 96, §1º da Lei 14.133/2021.</w:t>
      </w:r>
    </w:p>
    <w:p w14:paraId="77482BB5"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11.2.2 -</w:t>
      </w:r>
      <w:r>
        <w:rPr>
          <w:rFonts w:ascii="Verdana" w:eastAsia="Batang" w:hAnsi="Verdana"/>
          <w:bCs/>
          <w:sz w:val="20"/>
          <w:szCs w:val="20"/>
        </w:rPr>
        <w:t xml:space="preserve"> O valor deverá ser apresentado em moeda nacional utilizando-se 4 (quatro) casas decimais para o valor unitário, desprezando-se as demais, incluindo todos os impostos, seguros, transportes, embalagens, contribuições sociais, bem como quaisquer outros custos relacionados com a entrega do produto, com base nas especificações do objeto.</w:t>
      </w:r>
    </w:p>
    <w:p w14:paraId="26C1C900"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11.2.3 -</w:t>
      </w:r>
      <w:r>
        <w:rPr>
          <w:rFonts w:ascii="Verdana" w:eastAsia="Batang" w:hAnsi="Verdana"/>
          <w:bCs/>
          <w:sz w:val="20"/>
          <w:szCs w:val="20"/>
        </w:rPr>
        <w:t xml:space="preserve"> Deverão ser cotados todos os itens, em suas quantidades totais.</w:t>
      </w:r>
    </w:p>
    <w:p w14:paraId="7348BD6B"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11.2.4 -</w:t>
      </w:r>
      <w:r>
        <w:rPr>
          <w:rFonts w:ascii="Verdana" w:eastAsia="Batang" w:hAnsi="Verdana"/>
          <w:bCs/>
          <w:sz w:val="20"/>
          <w:szCs w:val="20"/>
        </w:rPr>
        <w:t xml:space="preserve"> A proposta deverá conter oferta firme e precisa, limitada, rigorosamente, ao objeto deste Edital, sem conter alternativas de preços ou qualquer outra condição que induza o julgamento a ter mais de um resultado, sob pena de desclassificação.</w:t>
      </w:r>
    </w:p>
    <w:p w14:paraId="4897A975"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11.2.5 -</w:t>
      </w:r>
      <w:r>
        <w:rPr>
          <w:rFonts w:ascii="Verdana" w:eastAsia="Batang" w:hAnsi="Verdana"/>
          <w:bCs/>
          <w:sz w:val="20"/>
          <w:szCs w:val="20"/>
        </w:rPr>
        <w:t xml:space="preserve"> Não serão adjudicadas as propostas de preços com valores superiores ao estimado para o VALOR GLOBAL e para CADA ITEM.</w:t>
      </w:r>
    </w:p>
    <w:p w14:paraId="7D4CC371"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11.2.6 -</w:t>
      </w:r>
      <w:r>
        <w:rPr>
          <w:rFonts w:ascii="Verdana" w:eastAsia="Batang" w:hAnsi="Verdana"/>
          <w:bCs/>
          <w:sz w:val="20"/>
          <w:szCs w:val="20"/>
        </w:rPr>
        <w:t xml:space="preserve"> Quaisquer tributos, custos e despesas diretos ou indiretos omitidos da proposta ou incorretamente cotados, serão considerados como inclusos nos preços, não sendo considerados pleitos de acréscimos, a esse ou a qualquer título, devendo o objeto ser entregue ao Órgão sem ônus adicionais.</w:t>
      </w:r>
    </w:p>
    <w:p w14:paraId="04F2D35F"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11.3 -</w:t>
      </w:r>
      <w:r>
        <w:rPr>
          <w:rFonts w:ascii="Verdana" w:eastAsia="Batang" w:hAnsi="Verdana"/>
          <w:bCs/>
          <w:sz w:val="20"/>
          <w:szCs w:val="20"/>
        </w:rPr>
        <w:t xml:space="preserve"> O Pregoeiro examinará a proposta melhor classificada quanto a compatibilidade do(s) preço(s) ofertado(s) em relação ao(s) preço(s) estimado(s) na pesquisa de mercado, podendo solicitar manifestação do setor demandante acerca de sua compatibilidade técnica com as especificações contidas no Termo de Referência.</w:t>
      </w:r>
    </w:p>
    <w:p w14:paraId="72A386CD"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11.4 -</w:t>
      </w:r>
      <w:r>
        <w:rPr>
          <w:rFonts w:ascii="Verdana" w:eastAsia="Batang" w:hAnsi="Verdana"/>
          <w:bCs/>
          <w:sz w:val="20"/>
          <w:szCs w:val="20"/>
        </w:rPr>
        <w:t xml:space="preserve"> O Pregoeiro poderá solicitar parecer técnico de servidores do SGP-Prev para orientar sua decisão.</w:t>
      </w:r>
    </w:p>
    <w:p w14:paraId="06775585"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11.5 -</w:t>
      </w:r>
      <w:r>
        <w:rPr>
          <w:rFonts w:ascii="Verdana" w:eastAsia="Batang" w:hAnsi="Verdana"/>
          <w:bCs/>
          <w:sz w:val="20"/>
          <w:szCs w:val="20"/>
        </w:rPr>
        <w:t xml:space="preserve"> Não será admitida proposta que apresente valores simbólicos, irrisórios ou incompatíveis com os praticados no mercado, exceto quando se referirem a recursos materiais ou técnicos do licitante, para os quais ele renuncie à parcela ou à totalidade da remuneração.</w:t>
      </w:r>
    </w:p>
    <w:p w14:paraId="2B188A49"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11.6 -</w:t>
      </w:r>
      <w:r>
        <w:rPr>
          <w:rFonts w:ascii="Verdana" w:eastAsia="Batang" w:hAnsi="Verdana"/>
          <w:bCs/>
          <w:sz w:val="20"/>
          <w:szCs w:val="20"/>
        </w:rPr>
        <w:t xml:space="preserve"> Quando necessário, o Pregoeiro poderá solicitar, no prazo máximo de 5 (cinco) dias úteis, para que o licitante demonstre a exequibilidade da sua proposta, por meio de documentos. Este prazo poderá ser prorrogado uma única vez, por igual período, </w:t>
      </w:r>
      <w:r>
        <w:rPr>
          <w:rFonts w:ascii="Verdana" w:eastAsia="Batang" w:hAnsi="Verdana"/>
          <w:sz w:val="20"/>
          <w:szCs w:val="20"/>
        </w:rPr>
        <w:t>mediante solicitação escrita e justificada do licitante, formulada antes de findo o prazo, e formalmente aceita pelo Pregoeiro.</w:t>
      </w:r>
    </w:p>
    <w:p w14:paraId="677DEA7C"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11.7 -</w:t>
      </w:r>
      <w:r>
        <w:rPr>
          <w:rFonts w:ascii="Verdana" w:eastAsia="Batang" w:hAnsi="Verdana"/>
          <w:bCs/>
          <w:sz w:val="20"/>
          <w:szCs w:val="20"/>
        </w:rPr>
        <w:t xml:space="preserve"> O Pregoeiro poderá fixar prazo para o reenvio do anexo contendo a proposta detalhada quando o preço ofertado for aceitável e houver necessidade de ajustes para adequar a propostas aos requisitos exigidos neste edital e seus anexos.</w:t>
      </w:r>
    </w:p>
    <w:p w14:paraId="64997A53"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lastRenderedPageBreak/>
        <w:t>11.8 -</w:t>
      </w:r>
      <w:r>
        <w:rPr>
          <w:rFonts w:ascii="Verdana" w:eastAsia="Batang" w:hAnsi="Verdana"/>
          <w:bCs/>
          <w:sz w:val="20"/>
          <w:szCs w:val="20"/>
        </w:rPr>
        <w:t xml:space="preserve"> Em caráter de diligência, os arquivos remetidos poderão ser solicitados a qualquer momento em original ou por cópia autenticada. Para tanto, os documentos deverão ser encaminhados ao Departamento de Licitações da Prefeitura Municipal no prazo estabelecido pelo Pregoeiro.</w:t>
      </w:r>
    </w:p>
    <w:p w14:paraId="6EF6B5D7"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11.9 -</w:t>
      </w:r>
      <w:r>
        <w:rPr>
          <w:rFonts w:ascii="Verdana" w:eastAsia="Batang" w:hAnsi="Verdana"/>
          <w:bCs/>
          <w:sz w:val="20"/>
          <w:szCs w:val="20"/>
        </w:rPr>
        <w:t xml:space="preserve"> Será desclassificado o licitante que abandonar o certame deixando de enviar a documentação acima indicada, o que pode ensejar a instrução de processo para aplicação de sanções previstas neste edital.</w:t>
      </w:r>
    </w:p>
    <w:p w14:paraId="09AAE455" w14:textId="77777777" w:rsidR="007E48E9" w:rsidRDefault="007E48E9">
      <w:pPr>
        <w:pBdr>
          <w:bottom w:val="double" w:sz="4" w:space="1" w:color="000000"/>
        </w:pBdr>
        <w:tabs>
          <w:tab w:val="left" w:pos="0"/>
          <w:tab w:val="left" w:pos="1182"/>
        </w:tabs>
        <w:spacing w:before="57" w:after="57" w:line="276" w:lineRule="auto"/>
        <w:rPr>
          <w:rFonts w:ascii="Verdana" w:eastAsia="Batang" w:hAnsi="Verdana"/>
          <w:b/>
          <w:sz w:val="20"/>
          <w:szCs w:val="20"/>
        </w:rPr>
      </w:pPr>
    </w:p>
    <w:p w14:paraId="7C0641A7" w14:textId="77777777" w:rsidR="007E48E9" w:rsidRDefault="00000000">
      <w:pPr>
        <w:pBdr>
          <w:bottom w:val="double" w:sz="4" w:space="1" w:color="000000"/>
        </w:pBdr>
        <w:tabs>
          <w:tab w:val="left" w:pos="0"/>
          <w:tab w:val="left" w:pos="1182"/>
        </w:tabs>
        <w:spacing w:before="57" w:after="57" w:line="276" w:lineRule="auto"/>
        <w:rPr>
          <w:rFonts w:ascii="Verdana" w:hAnsi="Verdana"/>
          <w:sz w:val="20"/>
          <w:szCs w:val="20"/>
        </w:rPr>
      </w:pPr>
      <w:r>
        <w:rPr>
          <w:rFonts w:ascii="Verdana" w:eastAsia="Batang" w:hAnsi="Verdana"/>
          <w:b/>
          <w:sz w:val="20"/>
          <w:szCs w:val="20"/>
        </w:rPr>
        <w:t xml:space="preserve">XII – </w:t>
      </w:r>
      <w:r>
        <w:rPr>
          <w:rFonts w:ascii="Verdana" w:eastAsia="Batang" w:hAnsi="Verdana"/>
          <w:b/>
          <w:bCs/>
          <w:sz w:val="20"/>
          <w:szCs w:val="20"/>
        </w:rPr>
        <w:t>DO SANEAMENTO DA PROPOSTA E DOS DOCUMENTOS DE HABILITAÇÃO</w:t>
      </w:r>
    </w:p>
    <w:p w14:paraId="1711AD64"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12.1 –</w:t>
      </w:r>
      <w:r>
        <w:rPr>
          <w:rFonts w:ascii="Verdana" w:eastAsia="Batang" w:hAnsi="Verdana"/>
          <w:sz w:val="20"/>
          <w:szCs w:val="20"/>
        </w:rPr>
        <w:t xml:space="preserve"> 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14:paraId="1C358369"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12.1.1 -</w:t>
      </w:r>
      <w:r>
        <w:rPr>
          <w:rFonts w:ascii="Verdana" w:eastAsia="Batang" w:hAnsi="Verdana"/>
          <w:sz w:val="20"/>
          <w:szCs w:val="20"/>
        </w:rPr>
        <w:t xml:space="preserve"> O desatendimento de exigências formais não essenciais não importará no afastamento do proponente, desde que seja possível a aferição da sua qualificação e a exata compreensão da sua proposta.</w:t>
      </w:r>
    </w:p>
    <w:p w14:paraId="4BFF21D2"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12.2 -</w:t>
      </w:r>
      <w:r>
        <w:rPr>
          <w:rFonts w:ascii="Verdana" w:eastAsia="Batang" w:hAnsi="Verdana"/>
          <w:sz w:val="20"/>
          <w:szCs w:val="20"/>
        </w:rPr>
        <w:t xml:space="preserve"> Na hipótese de necessidade de envio de documentos complementares após o julgamento da proposta, os documentos deverão ser apresentados em formato digital, via sistema, no prazo a ser estabelecido, após solicitação do Pregoeiro no sistema eletrônico.</w:t>
      </w:r>
    </w:p>
    <w:p w14:paraId="15C1447E"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12.2.1 -</w:t>
      </w:r>
      <w:r>
        <w:rPr>
          <w:rFonts w:ascii="Verdana" w:eastAsia="Batang" w:hAnsi="Verdana"/>
          <w:sz w:val="20"/>
          <w:szCs w:val="20"/>
        </w:rPr>
        <w:t xml:space="preserve"> O prazo estabelecido no item anterior poderá ser prorrogado pelo Pregoeiro por solicitação escrita e justificada do licitante, formulada antes de findo o prazo, e formalmente aceita pelo Pregoeiro.</w:t>
      </w:r>
    </w:p>
    <w:p w14:paraId="326D4907" w14:textId="77777777" w:rsidR="007E48E9" w:rsidRDefault="007E48E9">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eastAsia="Batang" w:hAnsi="Verdana"/>
          <w:sz w:val="20"/>
          <w:szCs w:val="20"/>
        </w:rPr>
      </w:pPr>
    </w:p>
    <w:p w14:paraId="25974E50" w14:textId="77777777" w:rsidR="007E48E9"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hAnsi="Verdana"/>
          <w:sz w:val="20"/>
          <w:szCs w:val="20"/>
        </w:rPr>
      </w:pPr>
      <w:r>
        <w:rPr>
          <w:rFonts w:ascii="Verdana" w:eastAsia="Batang" w:hAnsi="Verdana"/>
          <w:b/>
          <w:sz w:val="20"/>
          <w:szCs w:val="20"/>
        </w:rPr>
        <w:t>XIII – DOS RECURSOS</w:t>
      </w:r>
    </w:p>
    <w:p w14:paraId="38A41274" w14:textId="77777777" w:rsidR="007E48E9"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13.1 -</w:t>
      </w:r>
      <w:r>
        <w:rPr>
          <w:rFonts w:ascii="Verdana" w:eastAsia="Batang" w:hAnsi="Verdana"/>
          <w:sz w:val="20"/>
          <w:szCs w:val="20"/>
        </w:rPr>
        <w:t xml:space="preserve"> A intenção de interpor recurso poderá ser promovida pelos licitantes, de forma IMEDIATA, via sistema provedor, APÓS O TÉRMINO DO JULGAMENTO DAS PROPOSTAS E DO ATO DE HABILITAÇÃO OU INABILITAÇÃO. O sistema aceitará a intenção o licitante, inicialmente, nos 10 (dez) minutos imediatamente posteriores ao julgamento das propostas e do ato de habilitação ou inabilitação, sob pena de preclusão, ficando a Autoridade Competente autorizada a adjudicar o objeto ao licitante declarada vencedor.</w:t>
      </w:r>
    </w:p>
    <w:p w14:paraId="0964B93F" w14:textId="77777777" w:rsidR="007E48E9"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13.2 -</w:t>
      </w:r>
      <w:r>
        <w:rPr>
          <w:rFonts w:ascii="Verdana" w:eastAsia="Batang" w:hAnsi="Verdana"/>
          <w:sz w:val="20"/>
          <w:szCs w:val="20"/>
        </w:rPr>
        <w:t xml:space="preserve"> Não serão conhecidas as manifestações de recurso efetuadas por meio diverso do aqui estabelecido (chat de mensagens, e-mail, carta, etc.).</w:t>
      </w:r>
    </w:p>
    <w:p w14:paraId="782355D6" w14:textId="77777777" w:rsidR="007E48E9"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13.3 -</w:t>
      </w:r>
      <w:r>
        <w:rPr>
          <w:rFonts w:ascii="Verdana" w:eastAsia="Batang" w:hAnsi="Verdana"/>
          <w:sz w:val="20"/>
          <w:szCs w:val="20"/>
        </w:rPr>
        <w:t xml:space="preserve"> As razões do recurso deverão ser apresentadas em momento único, EXCLUSIVAMENTE POR MEIO DO SISTEMA PROVEDOR, no prazo de 03 (três) dias úteis, contados da data de intimação pessoal, realizada pelo sistema provedor.</w:t>
      </w:r>
    </w:p>
    <w:p w14:paraId="7EA0FC88"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13.4 -</w:t>
      </w:r>
      <w:r>
        <w:rPr>
          <w:rFonts w:ascii="Verdana" w:eastAsia="Batang" w:hAnsi="Verdana"/>
          <w:sz w:val="20"/>
          <w:szCs w:val="20"/>
        </w:rPr>
        <w:t xml:space="preserve"> Os demais licitantes ficarão intimados </w:t>
      </w:r>
      <w:proofErr w:type="gramStart"/>
      <w:r>
        <w:rPr>
          <w:rFonts w:ascii="Verdana" w:eastAsia="Batang" w:hAnsi="Verdana"/>
          <w:sz w:val="20"/>
          <w:szCs w:val="20"/>
        </w:rPr>
        <w:t>para, se</w:t>
      </w:r>
      <w:proofErr w:type="gramEnd"/>
      <w:r>
        <w:rPr>
          <w:rFonts w:ascii="Verdana" w:eastAsia="Batang" w:hAnsi="Verdana"/>
          <w:sz w:val="20"/>
          <w:szCs w:val="20"/>
        </w:rPr>
        <w:t xml:space="preserve"> desejarem, apresentar contrarrazões, EM IGUAL NÚMERO DE DIAS E NA MESMA FORMA, cujo prazo correrá a partir da data de intimação pessoal ou de divulgação da interposição do recurso.</w:t>
      </w:r>
    </w:p>
    <w:p w14:paraId="0104EF1C"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13.5 -</w:t>
      </w:r>
      <w:r>
        <w:rPr>
          <w:rFonts w:ascii="Verdana" w:eastAsia="Batang" w:hAnsi="Verdana"/>
          <w:sz w:val="20"/>
          <w:szCs w:val="20"/>
        </w:rPr>
        <w:t xml:space="preserve"> Será assegurado ao licitante vistas dos elementos indispensáveis à defesa de seus interesses.</w:t>
      </w:r>
    </w:p>
    <w:p w14:paraId="3555C8D5"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13.6 -</w:t>
      </w:r>
      <w:r>
        <w:rPr>
          <w:rFonts w:ascii="Verdana" w:eastAsia="Batang" w:hAnsi="Verdana"/>
          <w:sz w:val="20"/>
          <w:szCs w:val="20"/>
        </w:rPr>
        <w:t xml:space="preserve"> O acolhimento de recurso importará na invalidação apenas dos atos insuscetíveis de </w:t>
      </w:r>
      <w:r>
        <w:rPr>
          <w:rFonts w:ascii="Verdana" w:eastAsia="Batang" w:hAnsi="Verdana"/>
          <w:bCs/>
          <w:sz w:val="20"/>
          <w:szCs w:val="20"/>
        </w:rPr>
        <w:t>aproveitamento.</w:t>
      </w:r>
    </w:p>
    <w:p w14:paraId="37066E0B"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 xml:space="preserve">13.7 - </w:t>
      </w:r>
      <w:r>
        <w:rPr>
          <w:rFonts w:ascii="Verdana" w:eastAsia="Batang" w:hAnsi="Verdana"/>
          <w:bCs/>
          <w:sz w:val="20"/>
          <w:szCs w:val="20"/>
        </w:rPr>
        <w:t xml:space="preserve">Não serão conhecidos os recursos apresentados fora do prazo legal, subscritos por representante não habilitado legalmente ou não identificado no processo para responder </w:t>
      </w:r>
      <w:r>
        <w:rPr>
          <w:rFonts w:ascii="Verdana" w:eastAsia="Batang" w:hAnsi="Verdana"/>
          <w:bCs/>
          <w:sz w:val="20"/>
          <w:szCs w:val="20"/>
        </w:rPr>
        <w:lastRenderedPageBreak/>
        <w:t>pelo licitante, os meramente protelatórios, os que não guardem pertinência com o objeto licitado ou aqueles redigidos sem clareza, objetividade e de fácil compreensão.</w:t>
      </w:r>
    </w:p>
    <w:p w14:paraId="0CB87919"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 xml:space="preserve">13.8 - </w:t>
      </w:r>
      <w:r>
        <w:rPr>
          <w:rFonts w:ascii="Verdana" w:eastAsia="Batang" w:hAnsi="Verdana"/>
          <w:bCs/>
          <w:sz w:val="20"/>
          <w:szCs w:val="20"/>
        </w:rPr>
        <w:t>Os recursos terão efeito suspensivo do ato ou da decisão recorrida até que sobrevenha decisão final da Autoridade Competente.</w:t>
      </w:r>
    </w:p>
    <w:p w14:paraId="1C0A6ED4" w14:textId="77777777" w:rsidR="007E48E9" w:rsidRDefault="007E48E9">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eastAsia="Batang" w:hAnsi="Verdana"/>
          <w:b/>
          <w:sz w:val="20"/>
          <w:szCs w:val="20"/>
        </w:rPr>
      </w:pPr>
    </w:p>
    <w:p w14:paraId="574A7E13" w14:textId="77777777" w:rsidR="007E48E9"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hAnsi="Verdana"/>
          <w:sz w:val="20"/>
          <w:szCs w:val="20"/>
        </w:rPr>
      </w:pPr>
      <w:bookmarkStart w:id="7" w:name="_Hlk174630653"/>
      <w:r>
        <w:rPr>
          <w:rFonts w:ascii="Verdana" w:eastAsia="Batang" w:hAnsi="Verdana"/>
          <w:b/>
          <w:sz w:val="20"/>
          <w:szCs w:val="20"/>
        </w:rPr>
        <w:t>XIV – PROVA DE CONCEITO</w:t>
      </w:r>
    </w:p>
    <w:p w14:paraId="5FD38E8B"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14.1 –</w:t>
      </w:r>
      <w:r>
        <w:rPr>
          <w:rFonts w:ascii="Verdana" w:eastAsia="Batang" w:hAnsi="Verdana"/>
          <w:sz w:val="20"/>
          <w:szCs w:val="20"/>
        </w:rPr>
        <w:t xml:space="preserve"> Após a fase de habilitação, verificada a conformidade da proposta melhor classificada com as exigências do edital, a empresa licitante provisoriamente declarada vencedora do certame será convocada para a fase de Apresentação dos Sistemas (Prova de Conceito), a ser realizada nas dependências da </w:t>
      </w:r>
      <w:r>
        <w:rPr>
          <w:rFonts w:ascii="Verdana" w:eastAsia="Times New Roman" w:hAnsi="Verdana" w:cs="Arial"/>
          <w:bCs/>
          <w:sz w:val="20"/>
          <w:szCs w:val="20"/>
          <w:shd w:val="clear" w:color="auto" w:fill="FFFFFF"/>
        </w:rPr>
        <w:t>Caixa de Assistência dos Servidores Públicos do Município de São Gabriel da Palha</w:t>
      </w:r>
      <w:r>
        <w:rPr>
          <w:rFonts w:ascii="Verdana" w:eastAsia="Batang" w:hAnsi="Verdana"/>
          <w:sz w:val="20"/>
          <w:szCs w:val="20"/>
        </w:rPr>
        <w:t>, com a finalidade de validar todos os requisitos descritos como realizáveis no Anexo I - Termo de Referência.</w:t>
      </w:r>
    </w:p>
    <w:p w14:paraId="52105D10"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14.2 –</w:t>
      </w:r>
      <w:r>
        <w:rPr>
          <w:rFonts w:ascii="Verdana" w:eastAsia="Batang" w:hAnsi="Verdana"/>
          <w:sz w:val="20"/>
          <w:szCs w:val="20"/>
        </w:rPr>
        <w:t xml:space="preserve"> A Comissão Especial de Avaliação fará a verificação de conformidade do objeto ofertado, que deverá ser iniciado até o terceiro dia útil posterior à convocação. A empresa participante do certame deverá na data anteriormente mencionada estar munida de equipamentos e pessoal técnico qualificado para a demonstração prática dos sistemas com simulação, de forma a comprovar todas as tarefas e características descritas como realizáveis pelos sistemas no Anexo I - Termo de Referência, sob pena de, não o fazendo, ser desclassificada no presente processo.</w:t>
      </w:r>
    </w:p>
    <w:p w14:paraId="58CEFE3C"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14.3 –</w:t>
      </w:r>
      <w:r>
        <w:rPr>
          <w:rFonts w:ascii="Verdana" w:eastAsia="Batang" w:hAnsi="Verdana"/>
          <w:sz w:val="20"/>
          <w:szCs w:val="20"/>
        </w:rPr>
        <w:t xml:space="preserve"> A avaliação da demonstração prática dos sistemas do licitante será realizada por Comissão Especial de Avaliação designada através de Portaria. A Comissão Especial de Avaliação será formada por no mínimo 03 (três) membros, sendo no mínimo 01 (um) deles da área de informática e os demais das áreas afins. A avaliação técnica será proferida mediante parecer técnico que julgará as funcionalidades e características dos sistemas apresentados com base no Anexo I - Termo de Referência.</w:t>
      </w:r>
    </w:p>
    <w:p w14:paraId="17FC3252"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14.4 –</w:t>
      </w:r>
      <w:r>
        <w:rPr>
          <w:rFonts w:ascii="Verdana" w:eastAsia="Batang" w:hAnsi="Verdana"/>
          <w:sz w:val="20"/>
          <w:szCs w:val="20"/>
        </w:rPr>
        <w:t xml:space="preserve"> Caso não seja possível demonstrar todos os sistemas em um único dia, a demonstração seguirá pelos dias subsequentes, exceto se houver feriado e/ou finais de semana, quando a sessão será suspensa e reiniciada no primeiro dia útil subsequente. </w:t>
      </w:r>
    </w:p>
    <w:p w14:paraId="41232431"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14.5 –</w:t>
      </w:r>
      <w:r>
        <w:rPr>
          <w:rFonts w:ascii="Verdana" w:eastAsia="Batang" w:hAnsi="Verdana"/>
          <w:sz w:val="20"/>
          <w:szCs w:val="20"/>
        </w:rPr>
        <w:t xml:space="preserve"> Estima-se o prazo máximo de 05 (cinco) dias para a realização da apresentação dos sistemas de todos os módulos licitados, podendo ser prorrogado mediante fato superveniente devidamente justificado pela Comissão Especial de Avaliação.</w:t>
      </w:r>
    </w:p>
    <w:p w14:paraId="7C3052AD"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14.6 –</w:t>
      </w:r>
      <w:r>
        <w:rPr>
          <w:rFonts w:ascii="Verdana" w:eastAsia="Batang" w:hAnsi="Verdana"/>
          <w:sz w:val="20"/>
          <w:szCs w:val="20"/>
        </w:rPr>
        <w:t xml:space="preserve"> A posição da Comissão Especial de Avaliação, não eximirá a empresa de responsabilidades, cujo não atendimento venha a ser verificado no ato da implantação dos sistemas. </w:t>
      </w:r>
    </w:p>
    <w:p w14:paraId="64E09FBF"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14.7 –</w:t>
      </w:r>
      <w:r>
        <w:rPr>
          <w:rFonts w:ascii="Verdana" w:eastAsia="Batang" w:hAnsi="Verdana"/>
          <w:sz w:val="20"/>
          <w:szCs w:val="20"/>
        </w:rPr>
        <w:t xml:space="preserve"> O atendimento aos requisitos descritos no Anexo I - Termo de Referência, será validado pela Comissão Especial de Avaliação, os quais formalizarão relatório próprio, que integrará o processo. O relatório conclusivo da demonstração somente será expedido após a finalização dos testes pela empresa declarada inicialmente como vencedora.</w:t>
      </w:r>
    </w:p>
    <w:p w14:paraId="185D479E"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14.8 –</w:t>
      </w:r>
      <w:r>
        <w:rPr>
          <w:rFonts w:ascii="Verdana" w:eastAsia="Batang" w:hAnsi="Verdana"/>
          <w:sz w:val="20"/>
          <w:szCs w:val="20"/>
        </w:rPr>
        <w:t xml:space="preserve"> A Comissão Especial de Avaliação expedirá o relatório no prazo máximo de até 03 (três) dias úteis após a finalização da apresentação dos sistemas.</w:t>
      </w:r>
    </w:p>
    <w:p w14:paraId="4D913B16"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14.9 –</w:t>
      </w:r>
      <w:r>
        <w:rPr>
          <w:rFonts w:ascii="Verdana" w:eastAsia="Batang" w:hAnsi="Verdana"/>
          <w:sz w:val="20"/>
          <w:szCs w:val="20"/>
        </w:rPr>
        <w:t xml:space="preserve"> Os itens deverão ser demonstrados na mesma ordem em que se encontram descritos no Anexo I - Termo de Referência. Entretanto, caso existam itens conexos, poderá a empresa vencedora propor a inversão da ordem de apresentação objetivando agilizar os trabalhos.</w:t>
      </w:r>
    </w:p>
    <w:p w14:paraId="579487CB"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14.10 –</w:t>
      </w:r>
      <w:r>
        <w:rPr>
          <w:rFonts w:ascii="Verdana" w:eastAsia="Batang" w:hAnsi="Verdana"/>
          <w:sz w:val="20"/>
          <w:szCs w:val="20"/>
        </w:rPr>
        <w:t xml:space="preserve"> A sessão de avaliação da conformidade do objeto poderá ser acompanhada por quaisquer outras empresas interessadas, entretanto, as mesmas não poderão intervir na </w:t>
      </w:r>
      <w:r>
        <w:rPr>
          <w:rFonts w:ascii="Verdana" w:eastAsia="Batang" w:hAnsi="Verdana"/>
          <w:sz w:val="20"/>
          <w:szCs w:val="20"/>
        </w:rPr>
        <w:lastRenderedPageBreak/>
        <w:t>apresentação. Todas as eventuais não conformidades que identificar deverão ser apontadas na ata final a ser elaborada no último dia da prova de conceito.</w:t>
      </w:r>
    </w:p>
    <w:p w14:paraId="782A578D"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14.10.1 –</w:t>
      </w:r>
      <w:r>
        <w:rPr>
          <w:rFonts w:ascii="Verdana" w:eastAsia="Batang" w:hAnsi="Verdana"/>
          <w:sz w:val="20"/>
          <w:szCs w:val="20"/>
        </w:rPr>
        <w:t xml:space="preserve"> O acompanhamento da demonstração será mediante a realização da inscrição por e-mail enviado à Comissão de Licitação, em até 3 (três) dias úteis após a convocação para Apresentação dos Sistemas (Prova de Conceito).</w:t>
      </w:r>
    </w:p>
    <w:p w14:paraId="0B6DB024"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14.11 –</w:t>
      </w:r>
      <w:r>
        <w:rPr>
          <w:rFonts w:ascii="Verdana" w:eastAsia="Batang" w:hAnsi="Verdana"/>
          <w:sz w:val="20"/>
          <w:szCs w:val="20"/>
        </w:rPr>
        <w:t xml:space="preserve"> A Comissão Especial de Avaliação poderá requerer da empresa vencedora, além da demonstração dos itens descritos no Anexo I - Termo de Referência, a simulação de casos práticos do dia a dia, tais como cadastro de pessoas, sua vinculação ao cadastro de usuários, empenho, liquidação, etc.</w:t>
      </w:r>
    </w:p>
    <w:p w14:paraId="0A0B088F"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14.12 –</w:t>
      </w:r>
      <w:r>
        <w:rPr>
          <w:rFonts w:ascii="Verdana" w:eastAsia="Batang" w:hAnsi="Verdana"/>
          <w:sz w:val="20"/>
          <w:szCs w:val="20"/>
        </w:rPr>
        <w:t xml:space="preserve"> Todos os itens do Termo de Referência são considerados obrigatórios, por se tratarem de requisitos mínimos para a prestação de serviços, caso a detentora da melhor proposta não comprove o pleno atendimento a todos os itens descritos no Anexo I - Termo de Referência será convocada a licitante detentora do segundo melhor preço, bem como as remanescentes, observada a ordem de classificação final para o exercício do mesmo procedimento.</w:t>
      </w:r>
    </w:p>
    <w:p w14:paraId="64540142"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14.13 –</w:t>
      </w:r>
      <w:r>
        <w:rPr>
          <w:rFonts w:ascii="Verdana" w:eastAsia="Batang" w:hAnsi="Verdana"/>
          <w:sz w:val="20"/>
          <w:szCs w:val="20"/>
        </w:rPr>
        <w:t xml:space="preserve"> O não comparecimento para execução da prova na data e hora marcada, com justificativa fundamentada e aceita pela Comissão Especial de Avaliação, bem como a não demonstração de atendimento a quaisquer dos requisitos exigidos, implicará a desclassificação da proponente do certame, sujeitando, inclusive a mesma às penalidades previstas neste edital, vez que a Administração pretende contratar uma solução já desenvolvida e apta à utilização.</w:t>
      </w:r>
      <w:bookmarkEnd w:id="7"/>
    </w:p>
    <w:p w14:paraId="05C11A5F" w14:textId="77777777" w:rsidR="007E48E9" w:rsidRDefault="007E48E9">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eastAsia="Batang" w:hAnsi="Verdana"/>
          <w:b/>
          <w:sz w:val="20"/>
          <w:szCs w:val="20"/>
        </w:rPr>
      </w:pPr>
    </w:p>
    <w:p w14:paraId="5C1D565F" w14:textId="77777777" w:rsidR="007E48E9"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hAnsi="Verdana"/>
          <w:sz w:val="20"/>
          <w:szCs w:val="20"/>
        </w:rPr>
      </w:pPr>
      <w:r>
        <w:rPr>
          <w:rFonts w:ascii="Verdana" w:eastAsia="Batang" w:hAnsi="Verdana"/>
          <w:b/>
          <w:sz w:val="20"/>
          <w:szCs w:val="20"/>
        </w:rPr>
        <w:t>XV – DA ADJUDICAÇÃO, DA HOMOLOGAÇÃO E CONVOCAÇÃO PARA ASSINAR O CONTRATO</w:t>
      </w:r>
    </w:p>
    <w:p w14:paraId="6C876CA0" w14:textId="77777777" w:rsidR="007E48E9"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 xml:space="preserve">15.1 </w:t>
      </w:r>
      <w:r>
        <w:rPr>
          <w:rFonts w:ascii="Verdana" w:eastAsia="Batang" w:hAnsi="Verdana"/>
          <w:bCs/>
          <w:sz w:val="20"/>
          <w:szCs w:val="20"/>
        </w:rPr>
        <w:t>- Encerradas as fases de julgamento e habilitação, e exauridos os recursos administrativos, o processo licitatório será encaminhado à autoridade superior para promover a adjudicação do objeto e homologar a licitação.</w:t>
      </w:r>
    </w:p>
    <w:p w14:paraId="225F2878" w14:textId="77777777" w:rsidR="007E48E9"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15.2 -</w:t>
      </w:r>
      <w:r>
        <w:rPr>
          <w:rFonts w:ascii="Verdana" w:eastAsia="Batang" w:hAnsi="Verdana"/>
          <w:bCs/>
          <w:sz w:val="20"/>
          <w:szCs w:val="20"/>
        </w:rPr>
        <w:t xml:space="preserve"> Após a homologação, o adjudicatário será convocado para assinar o contrato no prazo de até 5 (cinco) dias úteis a partir da data da convocação, sob pena de decair o direito à contratação, sem prejuízo das sanções previstas neste Edital e seus anexos.</w:t>
      </w:r>
    </w:p>
    <w:p w14:paraId="37A03E43" w14:textId="77777777" w:rsidR="007E48E9"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15.2.1 -</w:t>
      </w:r>
      <w:r>
        <w:rPr>
          <w:rFonts w:ascii="Verdana" w:eastAsia="Batang" w:hAnsi="Verdana"/>
          <w:bCs/>
          <w:sz w:val="20"/>
          <w:szCs w:val="20"/>
        </w:rPr>
        <w:t xml:space="preserve"> O prazo para assinatura do contrato poderá ser prorrogado 1 (uma) vez, por igual período, mediante solicitação da parte durante seu transcurso, devidamente justificada e desde que o motivo seja aceito pela Administração.</w:t>
      </w:r>
    </w:p>
    <w:p w14:paraId="198172CC" w14:textId="77777777" w:rsidR="007E48E9"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15.2.2 -</w:t>
      </w:r>
      <w:r>
        <w:rPr>
          <w:rFonts w:ascii="Verdana" w:eastAsia="Batang" w:hAnsi="Verdana"/>
          <w:bCs/>
          <w:sz w:val="20"/>
          <w:szCs w:val="20"/>
        </w:rPr>
        <w:t xml:space="preserve"> A Administração, quando o convocado não assinar o Termo de Contrato ou não aceitar ou retirar o instrumento equivalente no prazo e nas condições estabelecidas, poderá convocar os licitantes remanescentes, na ordem de classificação, para a celebração do contrato nas condições propostas pelo licitante vencedor.</w:t>
      </w:r>
    </w:p>
    <w:p w14:paraId="161DC983" w14:textId="77777777" w:rsidR="007E48E9" w:rsidRDefault="00000000">
      <w:pP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15.2.3 -</w:t>
      </w:r>
      <w:r>
        <w:rPr>
          <w:rFonts w:ascii="Verdana" w:eastAsia="Batang" w:hAnsi="Verdana"/>
          <w:bCs/>
          <w:sz w:val="20"/>
          <w:szCs w:val="20"/>
        </w:rPr>
        <w:t xml:space="preserve"> Caso nenhum dos licitantes aceitar a contratação nos termos do subitem anterior, a Administração, observados o valor estimado e sua eventual atualização nos termos deste edital, poderá:</w:t>
      </w:r>
    </w:p>
    <w:p w14:paraId="0FC8726C" w14:textId="77777777" w:rsidR="007E48E9" w:rsidRDefault="00000000">
      <w:pP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I.</w:t>
      </w:r>
      <w:r>
        <w:rPr>
          <w:rFonts w:ascii="Verdana" w:eastAsia="Batang" w:hAnsi="Verdana"/>
          <w:bCs/>
          <w:sz w:val="20"/>
          <w:szCs w:val="20"/>
        </w:rPr>
        <w:t xml:space="preserve"> Convocar os licitantes remanescentes para negociação, na ordem de classificação, com vistas à obtenção de preço melhor, mesmo que acima do preço ou inferior ao desconto do adjudicatário;</w:t>
      </w:r>
    </w:p>
    <w:p w14:paraId="17DA45D2" w14:textId="77777777" w:rsidR="007E48E9" w:rsidRDefault="00000000">
      <w:pP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II.</w:t>
      </w:r>
      <w:r>
        <w:rPr>
          <w:rFonts w:ascii="Verdana" w:eastAsia="Batang" w:hAnsi="Verdana"/>
          <w:bCs/>
          <w:sz w:val="20"/>
          <w:szCs w:val="20"/>
        </w:rPr>
        <w:t xml:space="preserve"> Adjudicar e celebrar o contrato nas condições ofertadas pelos licitantes remanescentes, atendida a ordem classificatória, quando frustrada a negociação de melhor condição.</w:t>
      </w:r>
    </w:p>
    <w:p w14:paraId="2BB53FB0" w14:textId="77777777" w:rsidR="007E48E9" w:rsidRDefault="007E48E9">
      <w:pP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eastAsia="Batang" w:hAnsi="Verdana"/>
          <w:bCs/>
          <w:sz w:val="20"/>
          <w:szCs w:val="20"/>
        </w:rPr>
      </w:pPr>
    </w:p>
    <w:p w14:paraId="635917D4" w14:textId="77777777" w:rsidR="007E48E9" w:rsidRDefault="00000000">
      <w:pPr>
        <w:pBdr>
          <w:bottom w:val="double" w:sz="4" w:space="1" w:color="000000"/>
        </w:pBd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57" w:after="57" w:line="276" w:lineRule="auto"/>
        <w:rPr>
          <w:rFonts w:ascii="Verdana" w:hAnsi="Verdana"/>
          <w:sz w:val="20"/>
          <w:szCs w:val="20"/>
        </w:rPr>
      </w:pPr>
      <w:r>
        <w:rPr>
          <w:rFonts w:ascii="Verdana" w:eastAsia="Batang" w:hAnsi="Verdana"/>
          <w:b/>
          <w:sz w:val="20"/>
          <w:szCs w:val="20"/>
        </w:rPr>
        <w:lastRenderedPageBreak/>
        <w:t>XVI – ORIENTAÇÕES SOBRE A EXECUÇÃO DA CONTRATAÇÃO</w:t>
      </w:r>
    </w:p>
    <w:p w14:paraId="6BF4187F" w14:textId="77777777" w:rsidR="007E48E9" w:rsidRDefault="00000000">
      <w:pPr>
        <w:tabs>
          <w:tab w:val="left" w:pos="-414"/>
          <w:tab w:val="left" w:pos="306"/>
          <w:tab w:val="left" w:pos="714"/>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 xml:space="preserve">16.1 </w:t>
      </w:r>
      <w:r>
        <w:rPr>
          <w:rFonts w:ascii="Verdana" w:hAnsi="Verdana"/>
          <w:b/>
          <w:sz w:val="20"/>
          <w:szCs w:val="20"/>
        </w:rPr>
        <w:t>-</w:t>
      </w:r>
      <w:r>
        <w:rPr>
          <w:rFonts w:ascii="Verdana" w:hAnsi="Verdana"/>
          <w:sz w:val="20"/>
          <w:szCs w:val="20"/>
        </w:rPr>
        <w:t xml:space="preserve"> Todos os procedimentos e orientações sobre a execução da contratação constam no Termo de Referência – ANEXO I e Minuta do Contrato – ANEXO II.</w:t>
      </w:r>
    </w:p>
    <w:p w14:paraId="0E5CC357" w14:textId="77777777" w:rsidR="007E48E9" w:rsidRDefault="007E48E9">
      <w:pPr>
        <w:tabs>
          <w:tab w:val="left" w:pos="-414"/>
          <w:tab w:val="left" w:pos="306"/>
          <w:tab w:val="left" w:pos="714"/>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eastAsia="Batang" w:hAnsi="Verdana"/>
          <w:sz w:val="20"/>
          <w:szCs w:val="20"/>
        </w:rPr>
      </w:pPr>
    </w:p>
    <w:p w14:paraId="17BE962F" w14:textId="77777777" w:rsidR="007E48E9" w:rsidRDefault="00000000">
      <w:pPr>
        <w:pBdr>
          <w:bottom w:val="double" w:sz="4" w:space="1" w:color="000000"/>
        </w:pBdr>
        <w:tabs>
          <w:tab w:val="left" w:pos="993"/>
          <w:tab w:val="left" w:pos="1418"/>
        </w:tabs>
        <w:spacing w:before="57" w:after="57" w:line="276" w:lineRule="auto"/>
        <w:ind w:firstLine="10"/>
        <w:rPr>
          <w:rFonts w:ascii="Verdana" w:hAnsi="Verdana"/>
          <w:sz w:val="20"/>
          <w:szCs w:val="20"/>
        </w:rPr>
      </w:pPr>
      <w:r>
        <w:rPr>
          <w:rFonts w:ascii="Verdana" w:eastAsia="Batang" w:hAnsi="Verdana"/>
          <w:b/>
          <w:sz w:val="20"/>
          <w:szCs w:val="20"/>
        </w:rPr>
        <w:t>XVII –</w:t>
      </w:r>
      <w:r>
        <w:rPr>
          <w:rFonts w:ascii="Verdana" w:hAnsi="Verdana"/>
          <w:b/>
          <w:bCs/>
          <w:color w:val="000000"/>
          <w:sz w:val="20"/>
          <w:szCs w:val="20"/>
        </w:rPr>
        <w:t xml:space="preserve"> </w:t>
      </w:r>
      <w:r>
        <w:rPr>
          <w:rFonts w:ascii="Verdana" w:eastAsia="Batang" w:hAnsi="Verdana"/>
          <w:b/>
          <w:bCs/>
          <w:sz w:val="20"/>
          <w:szCs w:val="20"/>
        </w:rPr>
        <w:t>DO PAGAMENTO</w:t>
      </w:r>
    </w:p>
    <w:p w14:paraId="059437AF"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17.1 -</w:t>
      </w:r>
      <w:r>
        <w:rPr>
          <w:rFonts w:ascii="Verdana" w:eastAsia="Batang" w:hAnsi="Verdana"/>
          <w:bCs/>
          <w:sz w:val="20"/>
          <w:szCs w:val="20"/>
        </w:rPr>
        <w:t xml:space="preserve"> As orientações sobre o pagamento constam no Termo de Referência – ANEXO I e Minuta do Contrato – ANEXO II.</w:t>
      </w:r>
      <w:r>
        <w:rPr>
          <w:rFonts w:ascii="Verdana" w:eastAsia="Batang" w:hAnsi="Verdana"/>
          <w:bCs/>
          <w:sz w:val="20"/>
          <w:szCs w:val="20"/>
        </w:rPr>
        <w:tab/>
      </w:r>
    </w:p>
    <w:p w14:paraId="2228E74E" w14:textId="77777777" w:rsidR="007E48E9" w:rsidRDefault="00000000">
      <w:pPr>
        <w:pBdr>
          <w:bottom w:val="double" w:sz="4" w:space="1" w:color="000000"/>
        </w:pBdr>
        <w:tabs>
          <w:tab w:val="left" w:pos="993"/>
          <w:tab w:val="left" w:pos="1418"/>
        </w:tabs>
        <w:spacing w:before="57" w:after="57" w:line="276" w:lineRule="auto"/>
        <w:ind w:firstLine="10"/>
        <w:rPr>
          <w:rFonts w:ascii="Verdana" w:hAnsi="Verdana"/>
          <w:sz w:val="20"/>
          <w:szCs w:val="20"/>
        </w:rPr>
      </w:pPr>
      <w:r>
        <w:rPr>
          <w:rFonts w:ascii="Verdana" w:eastAsia="Batang" w:hAnsi="Verdana"/>
          <w:b/>
          <w:sz w:val="20"/>
          <w:szCs w:val="20"/>
        </w:rPr>
        <w:tab/>
      </w:r>
    </w:p>
    <w:p w14:paraId="163E4DB1" w14:textId="77777777" w:rsidR="007E48E9" w:rsidRDefault="00000000">
      <w:pPr>
        <w:pBdr>
          <w:bottom w:val="double" w:sz="4" w:space="1" w:color="000000"/>
        </w:pBdr>
        <w:tabs>
          <w:tab w:val="left" w:pos="993"/>
          <w:tab w:val="left" w:pos="1418"/>
        </w:tabs>
        <w:spacing w:before="57" w:after="57" w:line="276" w:lineRule="auto"/>
        <w:ind w:firstLine="10"/>
        <w:rPr>
          <w:rFonts w:ascii="Verdana" w:hAnsi="Verdana"/>
          <w:sz w:val="20"/>
          <w:szCs w:val="20"/>
        </w:rPr>
      </w:pPr>
      <w:r>
        <w:rPr>
          <w:rFonts w:ascii="Verdana" w:eastAsia="Batang" w:hAnsi="Verdana"/>
          <w:b/>
          <w:sz w:val="20"/>
          <w:szCs w:val="20"/>
        </w:rPr>
        <w:t>XVIII –</w:t>
      </w:r>
      <w:r>
        <w:rPr>
          <w:rFonts w:ascii="Verdana" w:hAnsi="Verdana"/>
          <w:b/>
          <w:bCs/>
          <w:color w:val="000000"/>
          <w:sz w:val="20"/>
          <w:szCs w:val="20"/>
        </w:rPr>
        <w:t xml:space="preserve"> DAS </w:t>
      </w:r>
      <w:r>
        <w:rPr>
          <w:rFonts w:ascii="Verdana" w:eastAsia="Batang" w:hAnsi="Verdana"/>
          <w:b/>
          <w:bCs/>
          <w:sz w:val="20"/>
          <w:szCs w:val="20"/>
        </w:rPr>
        <w:t>SANÇÕES ADMINISTRATIVAS</w:t>
      </w:r>
    </w:p>
    <w:p w14:paraId="6F37352C"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18.1 -</w:t>
      </w:r>
      <w:r>
        <w:rPr>
          <w:rFonts w:ascii="Verdana" w:eastAsia="Batang" w:hAnsi="Verdana"/>
          <w:bCs/>
          <w:sz w:val="20"/>
          <w:szCs w:val="20"/>
        </w:rPr>
        <w:t xml:space="preserve"> Os licitantes estarão sujeitos às sanções administrativas previstas na Lei nº 14.133, de 2021, e às demais cominações legais, resguardado o direito à ampla defesa;</w:t>
      </w:r>
    </w:p>
    <w:p w14:paraId="33FFC9D4"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18.2 -</w:t>
      </w:r>
      <w:r>
        <w:rPr>
          <w:rFonts w:ascii="Verdana" w:eastAsia="Batang" w:hAnsi="Verdana"/>
          <w:bCs/>
          <w:sz w:val="20"/>
          <w:szCs w:val="20"/>
        </w:rPr>
        <w:t xml:space="preserve"> As sanções relativas à execução do contrato constam no Termo de Referência – ANEXO I.</w:t>
      </w:r>
    </w:p>
    <w:p w14:paraId="76EE92C5" w14:textId="77777777" w:rsidR="007E48E9" w:rsidRDefault="007E48E9">
      <w:pPr>
        <w:spacing w:before="57" w:after="57" w:line="276" w:lineRule="auto"/>
        <w:jc w:val="both"/>
        <w:rPr>
          <w:rFonts w:ascii="Verdana" w:hAnsi="Verdana"/>
          <w:sz w:val="20"/>
          <w:szCs w:val="20"/>
        </w:rPr>
      </w:pPr>
    </w:p>
    <w:p w14:paraId="398177B8" w14:textId="77777777" w:rsidR="007E48E9"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hAnsi="Verdana"/>
          <w:sz w:val="20"/>
          <w:szCs w:val="20"/>
        </w:rPr>
      </w:pPr>
      <w:r>
        <w:rPr>
          <w:rFonts w:ascii="Verdana" w:eastAsia="Batang" w:hAnsi="Verdana"/>
          <w:b/>
          <w:sz w:val="20"/>
          <w:szCs w:val="20"/>
        </w:rPr>
        <w:t xml:space="preserve">XIX – </w:t>
      </w:r>
      <w:r>
        <w:rPr>
          <w:rFonts w:ascii="Verdana" w:hAnsi="Verdana"/>
          <w:b/>
          <w:bCs/>
          <w:sz w:val="20"/>
          <w:szCs w:val="20"/>
        </w:rPr>
        <w:t>DO CONTRATO</w:t>
      </w:r>
    </w:p>
    <w:p w14:paraId="36DA93E7" w14:textId="77777777" w:rsidR="007E48E9" w:rsidRDefault="00000000">
      <w:pPr>
        <w:pStyle w:val="Corpodetexto"/>
        <w:spacing w:before="57" w:after="57" w:line="276" w:lineRule="auto"/>
        <w:jc w:val="both"/>
        <w:rPr>
          <w:rFonts w:ascii="Verdana" w:hAnsi="Verdana"/>
          <w:sz w:val="20"/>
          <w:szCs w:val="20"/>
        </w:rPr>
      </w:pPr>
      <w:r>
        <w:rPr>
          <w:rFonts w:ascii="Verdana" w:eastAsia="Batang" w:hAnsi="Verdana"/>
          <w:b/>
          <w:sz w:val="20"/>
          <w:szCs w:val="20"/>
        </w:rPr>
        <w:t>19.1 –</w:t>
      </w:r>
      <w:r>
        <w:rPr>
          <w:rFonts w:ascii="Verdana" w:eastAsia="Batang" w:hAnsi="Verdana"/>
          <w:sz w:val="20"/>
          <w:szCs w:val="20"/>
        </w:rPr>
        <w:t xml:space="preserve"> As informações relativas </w:t>
      </w:r>
      <w:proofErr w:type="gramStart"/>
      <w:r>
        <w:rPr>
          <w:rFonts w:ascii="Verdana" w:eastAsia="Batang" w:hAnsi="Verdana"/>
          <w:sz w:val="20"/>
          <w:szCs w:val="20"/>
        </w:rPr>
        <w:t>a</w:t>
      </w:r>
      <w:proofErr w:type="gramEnd"/>
      <w:r>
        <w:rPr>
          <w:rFonts w:ascii="Verdana" w:eastAsia="Batang" w:hAnsi="Verdana"/>
          <w:sz w:val="20"/>
          <w:szCs w:val="20"/>
        </w:rPr>
        <w:t xml:space="preserve"> vigência do Contrato, suas eventuais prorrogações,</w:t>
      </w:r>
      <w:r>
        <w:rPr>
          <w:rFonts w:ascii="Verdana" w:hAnsi="Verdana"/>
          <w:sz w:val="20"/>
          <w:szCs w:val="20"/>
        </w:rPr>
        <w:t xml:space="preserve"> </w:t>
      </w:r>
      <w:r>
        <w:rPr>
          <w:rFonts w:ascii="Verdana" w:eastAsia="Batang" w:hAnsi="Verdana"/>
          <w:sz w:val="20"/>
          <w:szCs w:val="20"/>
        </w:rPr>
        <w:t xml:space="preserve">índice de reajustamento de preço, fiscalização e gestão do </w:t>
      </w:r>
      <w:proofErr w:type="gramStart"/>
      <w:r>
        <w:rPr>
          <w:rFonts w:ascii="Verdana" w:eastAsia="Batang" w:hAnsi="Verdana"/>
          <w:sz w:val="20"/>
          <w:szCs w:val="20"/>
        </w:rPr>
        <w:t>contrato,  entrega</w:t>
      </w:r>
      <w:proofErr w:type="gramEnd"/>
      <w:r>
        <w:rPr>
          <w:rFonts w:ascii="Verdana" w:eastAsia="Batang" w:hAnsi="Verdana"/>
          <w:sz w:val="20"/>
          <w:szCs w:val="20"/>
        </w:rPr>
        <w:t xml:space="preserve"> do objeto e condições de pagamento constam no Termo de Referência – ANEXO I e Minuta do Contrato – ANEXO II.</w:t>
      </w:r>
    </w:p>
    <w:p w14:paraId="7A68D863" w14:textId="77777777" w:rsidR="007E48E9" w:rsidRDefault="00000000">
      <w:pPr>
        <w:pStyle w:val="Corpodetexto"/>
        <w:spacing w:before="57" w:after="57" w:line="276" w:lineRule="auto"/>
        <w:jc w:val="both"/>
        <w:rPr>
          <w:rFonts w:ascii="Verdana" w:hAnsi="Verdana"/>
          <w:sz w:val="20"/>
          <w:szCs w:val="20"/>
        </w:rPr>
      </w:pPr>
      <w:r>
        <w:rPr>
          <w:rFonts w:ascii="Verdana" w:eastAsia="Batang" w:hAnsi="Verdana"/>
          <w:b/>
          <w:bCs/>
          <w:sz w:val="20"/>
          <w:szCs w:val="20"/>
        </w:rPr>
        <w:t>19.2 -</w:t>
      </w:r>
      <w:r>
        <w:rPr>
          <w:rFonts w:ascii="Verdana" w:eastAsia="Batang" w:hAnsi="Verdana"/>
          <w:sz w:val="20"/>
          <w:szCs w:val="20"/>
        </w:rPr>
        <w:t xml:space="preserve"> As previsões quanto assinatura do contrato constam na Cláusula XV deste edital.</w:t>
      </w:r>
    </w:p>
    <w:p w14:paraId="23423525" w14:textId="77777777" w:rsidR="007E48E9" w:rsidRDefault="007E48E9">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eastAsia="Batang" w:hAnsi="Verdana"/>
          <w:b/>
          <w:sz w:val="20"/>
          <w:szCs w:val="20"/>
        </w:rPr>
      </w:pPr>
    </w:p>
    <w:p w14:paraId="3DFD8490" w14:textId="77777777" w:rsidR="007E48E9"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hAnsi="Verdana"/>
          <w:sz w:val="20"/>
          <w:szCs w:val="20"/>
        </w:rPr>
      </w:pPr>
      <w:r>
        <w:rPr>
          <w:rFonts w:ascii="Verdana" w:eastAsia="Batang" w:hAnsi="Verdana"/>
          <w:b/>
          <w:sz w:val="20"/>
          <w:szCs w:val="20"/>
        </w:rPr>
        <w:t xml:space="preserve">XX – DOTAÇÃO </w:t>
      </w:r>
    </w:p>
    <w:p w14:paraId="41D36406" w14:textId="77777777" w:rsidR="007E48E9" w:rsidRDefault="00000000">
      <w:pPr>
        <w:spacing w:before="57" w:after="57" w:line="276" w:lineRule="auto"/>
        <w:jc w:val="both"/>
        <w:rPr>
          <w:rFonts w:ascii="Verdana" w:hAnsi="Verdana"/>
          <w:sz w:val="20"/>
          <w:szCs w:val="20"/>
        </w:rPr>
      </w:pPr>
      <w:r>
        <w:rPr>
          <w:rFonts w:ascii="Verdana" w:hAnsi="Verdana"/>
          <w:b/>
          <w:sz w:val="20"/>
          <w:szCs w:val="20"/>
        </w:rPr>
        <w:t>20.1</w:t>
      </w:r>
      <w:r>
        <w:rPr>
          <w:rFonts w:ascii="Verdana" w:hAnsi="Verdana"/>
          <w:sz w:val="20"/>
          <w:szCs w:val="20"/>
        </w:rPr>
        <w:t xml:space="preserve"> </w:t>
      </w:r>
      <w:r>
        <w:rPr>
          <w:rFonts w:ascii="Verdana" w:hAnsi="Verdana"/>
          <w:b/>
          <w:sz w:val="20"/>
          <w:szCs w:val="20"/>
        </w:rPr>
        <w:t>–</w:t>
      </w:r>
      <w:r>
        <w:rPr>
          <w:rFonts w:ascii="Verdana" w:hAnsi="Verdana"/>
          <w:sz w:val="20"/>
          <w:szCs w:val="20"/>
        </w:rPr>
        <w:t xml:space="preserve"> As despesas decorrentes da presente contratação correrão à conta de recursos específicos consignados no Orçamento deste exercício, Projeto 000006000001.0412260012.601 - Manutenção da Caixa de Assistência do Servidor Público – </w:t>
      </w:r>
      <w:proofErr w:type="spellStart"/>
      <w:r>
        <w:rPr>
          <w:rFonts w:ascii="Verdana" w:hAnsi="Verdana"/>
          <w:sz w:val="20"/>
          <w:szCs w:val="20"/>
        </w:rPr>
        <w:t>Casp</w:t>
      </w:r>
      <w:proofErr w:type="spellEnd"/>
      <w:r>
        <w:rPr>
          <w:rFonts w:ascii="Verdana" w:hAnsi="Verdana"/>
          <w:sz w:val="20"/>
          <w:szCs w:val="20"/>
        </w:rPr>
        <w:t>. Elemento 33904000000 – Serviços de Tecnologia da Informação e Comunicação – Pessoa Jurídica – Ficha 0000005 – Fonte 150000000000.</w:t>
      </w:r>
    </w:p>
    <w:p w14:paraId="65B1209B" w14:textId="77777777" w:rsidR="007E48E9" w:rsidRDefault="007E48E9">
      <w:pPr>
        <w:spacing w:line="276" w:lineRule="auto"/>
        <w:jc w:val="both"/>
        <w:rPr>
          <w:rFonts w:ascii="Verdana" w:hAnsi="Verdana"/>
          <w:sz w:val="20"/>
          <w:szCs w:val="20"/>
        </w:rPr>
      </w:pPr>
    </w:p>
    <w:p w14:paraId="573CBFC3" w14:textId="77777777" w:rsidR="007E48E9" w:rsidRDefault="00000000">
      <w:pPr>
        <w:pBdr>
          <w:bottom w:val="double" w:sz="4" w:space="1" w:color="000000"/>
        </w:pBdr>
        <w:spacing w:before="57" w:after="57" w:line="276" w:lineRule="auto"/>
        <w:jc w:val="both"/>
        <w:rPr>
          <w:rFonts w:ascii="Verdana" w:hAnsi="Verdana"/>
          <w:sz w:val="20"/>
          <w:szCs w:val="20"/>
        </w:rPr>
      </w:pPr>
      <w:r>
        <w:rPr>
          <w:rFonts w:ascii="Verdana" w:eastAsia="Batang" w:hAnsi="Verdana"/>
          <w:b/>
          <w:sz w:val="20"/>
          <w:szCs w:val="20"/>
        </w:rPr>
        <w:t>XXI – DAS DISPOSIÇÕES GERAIS</w:t>
      </w:r>
    </w:p>
    <w:p w14:paraId="5095736E" w14:textId="77777777" w:rsidR="007E48E9"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21.1</w:t>
      </w:r>
      <w:r>
        <w:rPr>
          <w:rFonts w:ascii="Verdana" w:eastAsia="Batang" w:hAnsi="Verdana"/>
          <w:sz w:val="20"/>
          <w:szCs w:val="20"/>
        </w:rPr>
        <w:t xml:space="preserve"> - É facultado ao Pregoeiro, em qualquer fase do procedimento, efetuar diligências destinadas a esclarecer ou completar a instrução do processo, sendo vedada aos licitantes a juntada posterior de informações ou documentos que deveriam ter sido apresentados para fins de análise da proposta de preço e habilitação.</w:t>
      </w:r>
    </w:p>
    <w:p w14:paraId="107A29C4" w14:textId="77777777" w:rsidR="007E48E9"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21.2 -</w:t>
      </w:r>
      <w:r>
        <w:rPr>
          <w:rFonts w:ascii="Verdana" w:eastAsia="Batang" w:hAnsi="Verdana"/>
          <w:sz w:val="20"/>
          <w:szCs w:val="20"/>
        </w:rPr>
        <w:t xml:space="preserve"> É facultado ao Pregoeiro, em qualquer fase do procedimento, solicitar informações complementares aos licitantes.</w:t>
      </w:r>
    </w:p>
    <w:p w14:paraId="39A0FFC6" w14:textId="77777777" w:rsidR="007E48E9"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21.3 -</w:t>
      </w:r>
      <w:r>
        <w:rPr>
          <w:rFonts w:ascii="Verdana" w:eastAsia="Batang" w:hAnsi="Verdana"/>
          <w:sz w:val="20"/>
          <w:szCs w:val="20"/>
        </w:rPr>
        <w:t xml:space="preserve"> É facultado ao Pregoeiro solicitar a contribuição de servidores da </w:t>
      </w:r>
      <w:r>
        <w:rPr>
          <w:rFonts w:ascii="Verdana" w:eastAsia="Times New Roman" w:hAnsi="Verdana" w:cs="Arial"/>
          <w:bCs/>
          <w:sz w:val="20"/>
          <w:szCs w:val="20"/>
          <w:shd w:val="clear" w:color="auto" w:fill="FFFFFF"/>
        </w:rPr>
        <w:t>Caixa de Assistência dos Servidores Públicos do Município de São Gabriel da Palha</w:t>
      </w:r>
      <w:r>
        <w:rPr>
          <w:rFonts w:ascii="Verdana" w:eastAsia="Batang" w:hAnsi="Verdana"/>
          <w:sz w:val="20"/>
          <w:szCs w:val="20"/>
        </w:rPr>
        <w:t xml:space="preserve"> para subsidiar a análise técnica de qualquer objeto licitado.</w:t>
      </w:r>
    </w:p>
    <w:p w14:paraId="708111EA" w14:textId="77777777" w:rsidR="007E48E9"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21.4 -</w:t>
      </w:r>
      <w:r>
        <w:rPr>
          <w:rFonts w:ascii="Verdana" w:eastAsia="Batang" w:hAnsi="Verdana"/>
          <w:sz w:val="20"/>
          <w:szCs w:val="20"/>
        </w:rPr>
        <w:t xml:space="preserve"> Cabe ao Pregoeiro solucionar os casos omissos do edital com base no ordenamento jurídico vigente e nos princípios de Direito Público.</w:t>
      </w:r>
    </w:p>
    <w:p w14:paraId="229926AF" w14:textId="77777777" w:rsidR="007E48E9"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21.5 -</w:t>
      </w:r>
      <w:r>
        <w:rPr>
          <w:rFonts w:ascii="Verdana" w:eastAsia="Batang" w:hAnsi="Verdana"/>
          <w:sz w:val="20"/>
          <w:szCs w:val="20"/>
        </w:rPr>
        <w:t xml:space="preserve"> O licitante é responsável pela veracidade das informações prestadas e dos documentos apresentados em qualquer fase do Pregão, cabendo responsabilização na esfera civil, penal e administrativa pela prática de atos fraudulentos.</w:t>
      </w:r>
    </w:p>
    <w:p w14:paraId="686DD7F8" w14:textId="77777777" w:rsidR="007E48E9"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lastRenderedPageBreak/>
        <w:t>21.6 -</w:t>
      </w:r>
      <w:r>
        <w:rPr>
          <w:rFonts w:ascii="Verdana" w:eastAsia="Batang" w:hAnsi="Verdana"/>
          <w:sz w:val="20"/>
          <w:szCs w:val="20"/>
        </w:rPr>
        <w:t xml:space="preserve"> Fazem parte do presente Edital integrando-o de forma plena, independentemente de transcrição:</w:t>
      </w:r>
    </w:p>
    <w:p w14:paraId="59034179" w14:textId="77777777" w:rsidR="007E48E9" w:rsidRDefault="00000000">
      <w:pPr>
        <w:tabs>
          <w:tab w:val="left" w:pos="720"/>
          <w:tab w:val="left" w:pos="910"/>
        </w:tabs>
        <w:spacing w:before="57" w:after="57" w:line="276" w:lineRule="auto"/>
        <w:jc w:val="both"/>
        <w:rPr>
          <w:rFonts w:ascii="Verdana" w:hAnsi="Verdana"/>
          <w:sz w:val="20"/>
          <w:szCs w:val="20"/>
        </w:rPr>
      </w:pPr>
      <w:r>
        <w:rPr>
          <w:rFonts w:ascii="Verdana" w:hAnsi="Verdana"/>
          <w:b/>
          <w:sz w:val="20"/>
          <w:szCs w:val="20"/>
        </w:rPr>
        <w:t>a) Anexo I –</w:t>
      </w:r>
      <w:r>
        <w:rPr>
          <w:rFonts w:ascii="Verdana" w:eastAsia="Batang" w:hAnsi="Verdana"/>
          <w:sz w:val="20"/>
          <w:szCs w:val="20"/>
        </w:rPr>
        <w:t xml:space="preserve"> Termo de Referência</w:t>
      </w:r>
      <w:r>
        <w:rPr>
          <w:rFonts w:ascii="Verdana" w:hAnsi="Verdana"/>
          <w:sz w:val="20"/>
          <w:szCs w:val="20"/>
        </w:rPr>
        <w:t>;</w:t>
      </w:r>
    </w:p>
    <w:p w14:paraId="6CF3ACE0" w14:textId="77777777" w:rsidR="007E48E9" w:rsidRDefault="00000000">
      <w:pPr>
        <w:tabs>
          <w:tab w:val="left" w:pos="720"/>
          <w:tab w:val="left" w:pos="910"/>
        </w:tabs>
        <w:spacing w:before="57" w:after="57" w:line="276" w:lineRule="auto"/>
        <w:jc w:val="both"/>
        <w:rPr>
          <w:rFonts w:ascii="Verdana" w:hAnsi="Verdana"/>
          <w:sz w:val="20"/>
          <w:szCs w:val="20"/>
        </w:rPr>
      </w:pPr>
      <w:r>
        <w:rPr>
          <w:rFonts w:ascii="Verdana" w:hAnsi="Verdana"/>
          <w:b/>
          <w:bCs/>
          <w:sz w:val="20"/>
          <w:szCs w:val="20"/>
        </w:rPr>
        <w:t>b) Anexo I-1 – Estudo Técnico Preliminar;</w:t>
      </w:r>
    </w:p>
    <w:p w14:paraId="26D0FBE5" w14:textId="77777777" w:rsidR="007E48E9" w:rsidRDefault="00000000">
      <w:pPr>
        <w:tabs>
          <w:tab w:val="left" w:pos="-414"/>
          <w:tab w:val="left" w:pos="306"/>
          <w:tab w:val="left" w:pos="1026"/>
          <w:tab w:val="left" w:pos="1530"/>
          <w:tab w:val="left" w:pos="2262"/>
          <w:tab w:val="left" w:pos="3000"/>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d) Anexo II</w:t>
      </w:r>
      <w:r>
        <w:rPr>
          <w:rFonts w:ascii="Verdana" w:eastAsia="Batang" w:hAnsi="Verdana"/>
          <w:sz w:val="20"/>
          <w:szCs w:val="20"/>
        </w:rPr>
        <w:t xml:space="preserve"> </w:t>
      </w:r>
      <w:r>
        <w:rPr>
          <w:rFonts w:ascii="Verdana" w:eastAsia="Batang" w:hAnsi="Verdana"/>
          <w:b/>
          <w:sz w:val="20"/>
          <w:szCs w:val="20"/>
        </w:rPr>
        <w:t>–</w:t>
      </w:r>
      <w:r>
        <w:rPr>
          <w:rFonts w:ascii="Verdana" w:eastAsia="Batang" w:hAnsi="Verdana"/>
          <w:sz w:val="20"/>
          <w:szCs w:val="20"/>
        </w:rPr>
        <w:t xml:space="preserve"> Modelo de Proposta;</w:t>
      </w:r>
    </w:p>
    <w:p w14:paraId="021C6BEC" w14:textId="2B44DE8D" w:rsidR="007E48E9" w:rsidRDefault="00000000">
      <w:pPr>
        <w:tabs>
          <w:tab w:val="left" w:pos="-414"/>
          <w:tab w:val="left" w:pos="306"/>
          <w:tab w:val="left" w:pos="1026"/>
          <w:tab w:val="left" w:pos="1530"/>
          <w:tab w:val="left" w:pos="2262"/>
          <w:tab w:val="left" w:pos="3000"/>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e) Anexo III</w:t>
      </w:r>
      <w:r>
        <w:rPr>
          <w:rFonts w:ascii="Verdana" w:eastAsia="Batang" w:hAnsi="Verdana"/>
          <w:sz w:val="20"/>
          <w:szCs w:val="20"/>
        </w:rPr>
        <w:t xml:space="preserve"> </w:t>
      </w:r>
      <w:r>
        <w:rPr>
          <w:rFonts w:ascii="Verdana" w:eastAsia="Batang" w:hAnsi="Verdana"/>
          <w:b/>
          <w:sz w:val="20"/>
          <w:szCs w:val="20"/>
        </w:rPr>
        <w:t>–</w:t>
      </w:r>
      <w:r>
        <w:rPr>
          <w:rFonts w:ascii="Verdana" w:eastAsia="Batang" w:hAnsi="Verdana"/>
          <w:sz w:val="20"/>
          <w:szCs w:val="20"/>
        </w:rPr>
        <w:t xml:space="preserve"> </w:t>
      </w:r>
      <w:r>
        <w:rPr>
          <w:rFonts w:ascii="Verdana" w:hAnsi="Verdana"/>
          <w:sz w:val="20"/>
          <w:szCs w:val="20"/>
        </w:rPr>
        <w:t xml:space="preserve">Minuta </w:t>
      </w:r>
      <w:r>
        <w:rPr>
          <w:rFonts w:ascii="Verdana" w:eastAsia="Batang" w:hAnsi="Verdana"/>
          <w:sz w:val="20"/>
          <w:szCs w:val="20"/>
        </w:rPr>
        <w:t>do Contrato;</w:t>
      </w:r>
    </w:p>
    <w:p w14:paraId="1764E533" w14:textId="77777777" w:rsidR="007E48E9" w:rsidRDefault="007E48E9">
      <w:p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57" w:after="57" w:line="276" w:lineRule="auto"/>
        <w:rPr>
          <w:rFonts w:ascii="Verdana" w:eastAsia="Batang" w:hAnsi="Verdana"/>
          <w:sz w:val="20"/>
          <w:szCs w:val="20"/>
        </w:rPr>
      </w:pPr>
    </w:p>
    <w:p w14:paraId="14B98C4E" w14:textId="4CF8F362" w:rsidR="007E48E9" w:rsidRDefault="00000000">
      <w:p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57" w:after="57" w:line="276" w:lineRule="auto"/>
        <w:jc w:val="right"/>
        <w:rPr>
          <w:rFonts w:ascii="Verdana" w:hAnsi="Verdana"/>
          <w:sz w:val="20"/>
          <w:szCs w:val="20"/>
        </w:rPr>
      </w:pPr>
      <w:r>
        <w:rPr>
          <w:rFonts w:ascii="Verdana" w:eastAsia="Batang" w:hAnsi="Verdana"/>
          <w:sz w:val="20"/>
          <w:szCs w:val="20"/>
        </w:rPr>
        <w:t xml:space="preserve">São Gabriel da Palha - ES, em </w:t>
      </w:r>
      <w:r w:rsidR="00B1577C">
        <w:rPr>
          <w:rFonts w:ascii="Verdana" w:eastAsia="Batang" w:hAnsi="Verdana"/>
          <w:sz w:val="20"/>
          <w:szCs w:val="20"/>
        </w:rPr>
        <w:t>11</w:t>
      </w:r>
      <w:r>
        <w:rPr>
          <w:rFonts w:ascii="Verdana" w:eastAsia="Batang" w:hAnsi="Verdana"/>
          <w:sz w:val="20"/>
          <w:szCs w:val="20"/>
        </w:rPr>
        <w:t xml:space="preserve"> de </w:t>
      </w:r>
      <w:r w:rsidR="00B1577C">
        <w:rPr>
          <w:rFonts w:ascii="Verdana" w:eastAsia="Batang" w:hAnsi="Verdana"/>
          <w:sz w:val="20"/>
          <w:szCs w:val="20"/>
        </w:rPr>
        <w:t>junho</w:t>
      </w:r>
      <w:r>
        <w:rPr>
          <w:rFonts w:ascii="Verdana" w:eastAsia="Batang" w:hAnsi="Verdana"/>
          <w:sz w:val="20"/>
          <w:szCs w:val="20"/>
        </w:rPr>
        <w:t xml:space="preserve"> de 2026.</w:t>
      </w:r>
    </w:p>
    <w:p w14:paraId="2D484E59" w14:textId="77777777" w:rsidR="007E48E9" w:rsidRDefault="007E48E9">
      <w:pPr>
        <w:spacing w:before="57" w:after="57" w:line="276" w:lineRule="auto"/>
        <w:rPr>
          <w:rFonts w:ascii="Verdana" w:hAnsi="Verdana"/>
          <w:sz w:val="20"/>
          <w:szCs w:val="20"/>
        </w:rPr>
      </w:pPr>
    </w:p>
    <w:p w14:paraId="49F28725" w14:textId="77777777" w:rsidR="007E48E9" w:rsidRDefault="007E48E9">
      <w:pPr>
        <w:spacing w:before="57" w:after="57" w:line="276" w:lineRule="auto"/>
        <w:rPr>
          <w:rFonts w:ascii="Verdana" w:hAnsi="Verdana"/>
          <w:sz w:val="20"/>
          <w:szCs w:val="20"/>
        </w:rPr>
      </w:pPr>
    </w:p>
    <w:p w14:paraId="783775F9" w14:textId="77777777" w:rsidR="007E48E9" w:rsidRDefault="00000000">
      <w:pPr>
        <w:pStyle w:val="SemEspaamento"/>
        <w:spacing w:before="57" w:after="57" w:line="276" w:lineRule="auto"/>
        <w:jc w:val="center"/>
        <w:rPr>
          <w:rFonts w:ascii="Verdana" w:hAnsi="Verdana"/>
          <w:sz w:val="20"/>
          <w:szCs w:val="20"/>
        </w:rPr>
      </w:pPr>
      <w:bookmarkStart w:id="8" w:name="_Hlk232084307"/>
      <w:r>
        <w:rPr>
          <w:rFonts w:ascii="Verdana" w:hAnsi="Verdana"/>
          <w:b/>
          <w:sz w:val="20"/>
          <w:szCs w:val="20"/>
        </w:rPr>
        <w:t>CLEYTON MARQUES DE OLIVEIRA</w:t>
      </w:r>
      <w:r>
        <w:rPr>
          <w:rFonts w:ascii="Verdana" w:hAnsi="Verdana"/>
          <w:b/>
          <w:sz w:val="20"/>
          <w:szCs w:val="20"/>
        </w:rPr>
        <w:br/>
        <w:t>Superintendente CASP-SGP</w:t>
      </w:r>
      <w:bookmarkEnd w:id="8"/>
    </w:p>
    <w:sectPr w:rsidR="007E48E9">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803" w:left="1417" w:header="709" w:footer="24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C6326" w14:textId="77777777" w:rsidR="00D7468C" w:rsidRDefault="00D7468C">
      <w:r>
        <w:separator/>
      </w:r>
    </w:p>
  </w:endnote>
  <w:endnote w:type="continuationSeparator" w:id="0">
    <w:p w14:paraId="36E573A7" w14:textId="77777777" w:rsidR="00D7468C" w:rsidRDefault="00D74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1">
    <w:charset w:val="00"/>
    <w:family w:val="roman"/>
    <w:pitch w:val="variable"/>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2087" w14:textId="77777777" w:rsidR="007E48E9" w:rsidRDefault="007E48E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9BC96" w14:textId="77777777" w:rsidR="007E48E9" w:rsidRDefault="00000000">
    <w:pPr>
      <w:pStyle w:val="Rodap"/>
      <w:jc w:val="center"/>
      <w:rPr>
        <w:rFonts w:ascii="Century Gothic" w:hAnsi="Century Gothic" w:cs="Calibri"/>
        <w:color w:val="000000"/>
        <w:sz w:val="20"/>
        <w:szCs w:val="20"/>
      </w:rPr>
    </w:pPr>
    <w:r>
      <w:rPr>
        <w:rFonts w:ascii="Century Gothic" w:hAnsi="Century Gothic" w:cs="Calibri"/>
        <w:color w:val="000000"/>
        <w:sz w:val="20"/>
        <w:szCs w:val="20"/>
      </w:rPr>
      <w:t>Rua 14 de Maio, 192 - Glória – São Gabriel da Palha-ES – CEP 29.780-000</w:t>
    </w:r>
  </w:p>
  <w:p w14:paraId="59E48BE0" w14:textId="77777777" w:rsidR="007E48E9" w:rsidRDefault="007E48E9">
    <w:pPr>
      <w:pStyle w:val="Rodap"/>
      <w:jc w:val="center"/>
    </w:pPr>
    <w:hyperlink r:id="rId1">
      <w:r>
        <w:rPr>
          <w:rFonts w:ascii="Century Gothic" w:hAnsi="Century Gothic" w:cs="Calibri"/>
          <w:color w:val="000000"/>
          <w:sz w:val="20"/>
          <w:szCs w:val="20"/>
        </w:rPr>
        <w:t xml:space="preserve"> </w:t>
      </w:r>
    </w:hyperlink>
    <w:r w:rsidR="00000000">
      <w:rPr>
        <w:rStyle w:val="Nmerodepgina"/>
        <w:rFonts w:ascii="Century Gothic" w:hAnsi="Century Gothic" w:cs="Calibri"/>
        <w:color w:val="000000"/>
        <w:sz w:val="20"/>
        <w:szCs w:val="20"/>
      </w:rPr>
      <w:t xml:space="preserve">Telefone: (27) 3727-1010 - e-mail: </w:t>
    </w:r>
    <w:hyperlink r:id="rId2">
      <w:r>
        <w:rPr>
          <w:rStyle w:val="Hyperlink"/>
          <w:rFonts w:ascii="Century Gothic" w:hAnsi="Century Gothic" w:cs="Calibri"/>
          <w:color w:val="000000"/>
          <w:sz w:val="20"/>
          <w:szCs w:val="20"/>
        </w:rPr>
        <w:t>caspsgp@gmail.com</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74326" w14:textId="77777777" w:rsidR="007E48E9" w:rsidRDefault="00000000">
    <w:pPr>
      <w:pStyle w:val="Rodap"/>
      <w:jc w:val="center"/>
      <w:rPr>
        <w:rFonts w:ascii="Century Gothic" w:hAnsi="Century Gothic"/>
        <w:color w:val="000000"/>
        <w:sz w:val="20"/>
        <w:szCs w:val="20"/>
      </w:rPr>
    </w:pPr>
    <w:bookmarkStart w:id="10" w:name="_Hlk215044206"/>
    <w:r>
      <w:rPr>
        <w:rFonts w:ascii="Century Gothic" w:hAnsi="Century Gothic"/>
        <w:color w:val="000000"/>
        <w:sz w:val="20"/>
        <w:szCs w:val="20"/>
      </w:rPr>
      <w:t>Rua 14 de Maio, 192 - Glória – São Gabriel da Palha-ES – CEP 29.780-000</w:t>
    </w:r>
  </w:p>
  <w:p w14:paraId="24F7E845" w14:textId="77777777" w:rsidR="007E48E9" w:rsidRDefault="007E48E9">
    <w:pPr>
      <w:pStyle w:val="Rodap"/>
      <w:jc w:val="center"/>
    </w:pPr>
    <w:hyperlink r:id="rId1">
      <w:r>
        <w:rPr>
          <w:rFonts w:ascii="Century Gothic" w:hAnsi="Century Gothic"/>
          <w:color w:val="000000"/>
          <w:sz w:val="20"/>
          <w:szCs w:val="20"/>
        </w:rPr>
        <w:t xml:space="preserve"> </w:t>
      </w:r>
    </w:hyperlink>
    <w:r w:rsidR="00000000">
      <w:rPr>
        <w:rStyle w:val="Nmerodepgina"/>
        <w:rFonts w:ascii="Century Gothic" w:hAnsi="Century Gothic"/>
        <w:color w:val="000000"/>
        <w:sz w:val="20"/>
        <w:szCs w:val="20"/>
      </w:rPr>
      <w:t xml:space="preserve">Telefone: (27) 3727-1010 - e-mail: </w:t>
    </w:r>
    <w:hyperlink r:id="rId2">
      <w:r>
        <w:rPr>
          <w:rStyle w:val="Hyperlink"/>
          <w:rFonts w:ascii="Century Gothic" w:hAnsi="Century Gothic"/>
          <w:color w:val="000000"/>
          <w:sz w:val="20"/>
          <w:szCs w:val="20"/>
        </w:rPr>
        <w:t>caspsgp@gmail.com</w:t>
      </w:r>
    </w:hyperlink>
    <w:bookmarkEnd w:id="1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6B165" w14:textId="77777777" w:rsidR="00D7468C" w:rsidRDefault="00D7468C">
      <w:r>
        <w:separator/>
      </w:r>
    </w:p>
  </w:footnote>
  <w:footnote w:type="continuationSeparator" w:id="0">
    <w:p w14:paraId="0D6EBD41" w14:textId="77777777" w:rsidR="00D7468C" w:rsidRDefault="00D74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174E7" w14:textId="77777777" w:rsidR="007E48E9" w:rsidRDefault="007E48E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9047A" w14:textId="77777777" w:rsidR="007E48E9" w:rsidRDefault="00000000">
    <w:pPr>
      <w:pStyle w:val="Cabealho"/>
      <w:jc w:val="right"/>
    </w:pPr>
    <w:r>
      <w:rPr>
        <w:noProof/>
      </w:rPr>
      <w:drawing>
        <wp:anchor distT="0" distB="0" distL="114300" distR="114300" simplePos="0" relativeHeight="21" behindDoc="1" locked="0" layoutInCell="0" allowOverlap="1" wp14:anchorId="6627765A" wp14:editId="12F45189">
          <wp:simplePos x="0" y="0"/>
          <wp:positionH relativeFrom="column">
            <wp:posOffset>2539365</wp:posOffset>
          </wp:positionH>
          <wp:positionV relativeFrom="paragraph">
            <wp:posOffset>-143510</wp:posOffset>
          </wp:positionV>
          <wp:extent cx="1141730" cy="459740"/>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tretch>
                    <a:fillRect/>
                  </a:stretch>
                </pic:blipFill>
                <pic:spPr bwMode="auto">
                  <a:xfrm>
                    <a:off x="0" y="0"/>
                    <a:ext cx="1141730" cy="459740"/>
                  </a:xfrm>
                  <a:prstGeom prst="rect">
                    <a:avLst/>
                  </a:prstGeom>
                </pic:spPr>
              </pic:pic>
            </a:graphicData>
          </a:graphic>
        </wp:anchor>
      </w:drawing>
    </w:r>
  </w:p>
  <w:p w14:paraId="03FDA4D9" w14:textId="77777777" w:rsidR="007E48E9" w:rsidRDefault="007E48E9">
    <w:pPr>
      <w:pStyle w:val="Cabealho"/>
      <w:jc w:val="right"/>
    </w:pPr>
  </w:p>
  <w:p w14:paraId="34A9DB38" w14:textId="77777777" w:rsidR="007E48E9" w:rsidRDefault="00000000">
    <w:pPr>
      <w:spacing w:line="276" w:lineRule="auto"/>
      <w:jc w:val="center"/>
      <w:rPr>
        <w:rFonts w:ascii="Verdana" w:hAnsi="Verdana"/>
        <w:sz w:val="20"/>
        <w:szCs w:val="20"/>
      </w:rPr>
    </w:pPr>
    <w:r>
      <w:rPr>
        <w:rFonts w:ascii="Verdana" w:hAnsi="Verdana"/>
        <w:b/>
        <w:sz w:val="20"/>
        <w:szCs w:val="20"/>
      </w:rPr>
      <w:t>CAIXA DE ASSISTÊNCIA DOS SERVIDORES PÚBLICOS MUNICIPAIS DE</w:t>
    </w:r>
  </w:p>
  <w:p w14:paraId="734BCAA2" w14:textId="77777777" w:rsidR="007E48E9" w:rsidRDefault="00000000">
    <w:pPr>
      <w:spacing w:line="276" w:lineRule="auto"/>
      <w:jc w:val="center"/>
      <w:rPr>
        <w:rFonts w:ascii="Verdana" w:hAnsi="Verdana"/>
        <w:sz w:val="20"/>
        <w:szCs w:val="20"/>
      </w:rPr>
    </w:pPr>
    <w:r>
      <w:rPr>
        <w:rFonts w:ascii="Verdana" w:hAnsi="Verdana"/>
        <w:b/>
        <w:sz w:val="20"/>
        <w:szCs w:val="20"/>
      </w:rPr>
      <w:t>SÃO GABRIEL DA PALHA CASP-SGP</w:t>
    </w:r>
  </w:p>
  <w:p w14:paraId="3DA99A25" w14:textId="77777777" w:rsidR="007E48E9" w:rsidRDefault="00000000">
    <w:pPr>
      <w:pStyle w:val="Cabealho"/>
      <w:jc w:val="center"/>
      <w:rPr>
        <w:rFonts w:ascii="Verdana" w:hAnsi="Verdana"/>
        <w:sz w:val="20"/>
        <w:szCs w:val="20"/>
      </w:rPr>
    </w:pPr>
    <w:r>
      <w:rPr>
        <w:rFonts w:ascii="Verdana" w:hAnsi="Verdana"/>
        <w:b/>
        <w:sz w:val="20"/>
        <w:szCs w:val="20"/>
      </w:rPr>
      <w:t>CNPJ 02.256.983/0001-57</w:t>
    </w:r>
  </w:p>
  <w:p w14:paraId="2E8B497F" w14:textId="77777777" w:rsidR="007E48E9" w:rsidRDefault="007E48E9">
    <w:pPr>
      <w:pStyle w:val="Cabealho"/>
      <w:jc w:val="center"/>
      <w:rPr>
        <w:rFonts w:ascii="Century Gothic" w:hAnsi="Century Gothic"/>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94476" w14:textId="77777777" w:rsidR="007E48E9" w:rsidRDefault="00000000">
    <w:pPr>
      <w:pStyle w:val="Cabealho"/>
    </w:pPr>
    <w:r>
      <w:rPr>
        <w:noProof/>
      </w:rPr>
      <w:drawing>
        <wp:anchor distT="0" distB="0" distL="114300" distR="114300" simplePos="0" relativeHeight="23" behindDoc="1" locked="0" layoutInCell="0" allowOverlap="1" wp14:anchorId="41E8C265" wp14:editId="19767D6D">
          <wp:simplePos x="0" y="0"/>
          <wp:positionH relativeFrom="margin">
            <wp:align>center</wp:align>
          </wp:positionH>
          <wp:positionV relativeFrom="paragraph">
            <wp:posOffset>-257810</wp:posOffset>
          </wp:positionV>
          <wp:extent cx="1241425" cy="581025"/>
          <wp:effectExtent l="0" t="0" r="0" b="0"/>
          <wp:wrapSquare wrapText="bothSides"/>
          <wp:docPr id="2" name="Figu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3"/>
                  <pic:cNvPicPr>
                    <a:picLocks noChangeAspect="1" noChangeArrowheads="1"/>
                  </pic:cNvPicPr>
                </pic:nvPicPr>
                <pic:blipFill>
                  <a:blip r:embed="rId1"/>
                  <a:stretch>
                    <a:fillRect/>
                  </a:stretch>
                </pic:blipFill>
                <pic:spPr bwMode="auto">
                  <a:xfrm>
                    <a:off x="0" y="0"/>
                    <a:ext cx="1241425" cy="581025"/>
                  </a:xfrm>
                  <a:prstGeom prst="rect">
                    <a:avLst/>
                  </a:prstGeom>
                </pic:spPr>
              </pic:pic>
            </a:graphicData>
          </a:graphic>
        </wp:anchor>
      </w:drawing>
    </w:r>
  </w:p>
  <w:p w14:paraId="52943DE7" w14:textId="77777777" w:rsidR="007E48E9" w:rsidRDefault="007E48E9">
    <w:pPr>
      <w:pStyle w:val="Cabealho"/>
      <w:jc w:val="center"/>
      <w:rPr>
        <w:b/>
        <w:sz w:val="22"/>
        <w:szCs w:val="22"/>
      </w:rPr>
    </w:pPr>
  </w:p>
  <w:p w14:paraId="1C17BB5C" w14:textId="77777777" w:rsidR="007E48E9" w:rsidRDefault="00000000">
    <w:pPr>
      <w:spacing w:line="276" w:lineRule="auto"/>
      <w:jc w:val="center"/>
      <w:rPr>
        <w:sz w:val="21"/>
        <w:szCs w:val="21"/>
      </w:rPr>
    </w:pPr>
    <w:r>
      <w:rPr>
        <w:rFonts w:ascii="Century Gothic" w:hAnsi="Century Gothic"/>
        <w:b/>
        <w:sz w:val="21"/>
        <w:szCs w:val="21"/>
      </w:rPr>
      <w:t>CAIXA DE ASSISTÊNCIA DOS SERVIDORES PÚBLICOS MUNICIPAIS DE</w:t>
    </w:r>
  </w:p>
  <w:p w14:paraId="557B763D" w14:textId="77777777" w:rsidR="007E48E9" w:rsidRDefault="00000000">
    <w:pPr>
      <w:spacing w:line="276" w:lineRule="auto"/>
      <w:jc w:val="center"/>
      <w:rPr>
        <w:sz w:val="21"/>
        <w:szCs w:val="21"/>
      </w:rPr>
    </w:pPr>
    <w:r>
      <w:rPr>
        <w:rFonts w:ascii="Century Gothic" w:hAnsi="Century Gothic"/>
        <w:b/>
        <w:sz w:val="21"/>
        <w:szCs w:val="21"/>
      </w:rPr>
      <w:t>SÃO GABRIEL DA PALHA CASP-SGP</w:t>
    </w:r>
  </w:p>
  <w:p w14:paraId="7C73D660" w14:textId="77777777" w:rsidR="007E48E9" w:rsidRDefault="00000000">
    <w:pPr>
      <w:pStyle w:val="Cabealho"/>
      <w:jc w:val="center"/>
      <w:rPr>
        <w:sz w:val="21"/>
        <w:szCs w:val="21"/>
      </w:rPr>
    </w:pPr>
    <w:bookmarkStart w:id="9" w:name="_Hlk215044187"/>
    <w:r>
      <w:rPr>
        <w:rFonts w:ascii="Century Gothic" w:hAnsi="Century Gothic"/>
        <w:b/>
        <w:sz w:val="21"/>
        <w:szCs w:val="21"/>
      </w:rPr>
      <w:t>CNPJ 02.256.983/0001-57</w:t>
    </w:r>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72019"/>
    <w:multiLevelType w:val="multilevel"/>
    <w:tmpl w:val="1B62C8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BA37DFE"/>
    <w:multiLevelType w:val="multilevel"/>
    <w:tmpl w:val="0602F31E"/>
    <w:lvl w:ilvl="0">
      <w:start w:val="1"/>
      <w:numFmt w:val="decimal"/>
      <w:pStyle w:val="Nivel01"/>
      <w:lvlText w:val="%1."/>
      <w:lvlJc w:val="left"/>
      <w:pPr>
        <w:tabs>
          <w:tab w:val="num" w:pos="0"/>
        </w:tabs>
        <w:ind w:left="4472" w:hanging="360"/>
      </w:pPr>
      <w:rPr>
        <w:b/>
      </w:rPr>
    </w:lvl>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 w:ilvl="2">
      <w:start w:val="1"/>
      <w:numFmt w:val="decimal"/>
      <w:pStyle w:val="Nivel3"/>
      <w:lvlText w:val="%1.%2.%3."/>
      <w:lvlJc w:val="left"/>
      <w:pPr>
        <w:tabs>
          <w:tab w:val="num" w:pos="0"/>
        </w:tabs>
        <w:ind w:left="1638" w:hanging="504"/>
      </w:pPr>
      <w:rPr>
        <w:rFonts w:ascii="Arial" w:hAnsi="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3499209D"/>
    <w:multiLevelType w:val="multilevel"/>
    <w:tmpl w:val="C720AF7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E0B3693"/>
    <w:multiLevelType w:val="multilevel"/>
    <w:tmpl w:val="D826B784"/>
    <w:lvl w:ilvl="0">
      <w:start w:val="1"/>
      <w:numFmt w:val="decimal"/>
      <w:lvlText w:val="%1)"/>
      <w:lvlJc w:val="left"/>
      <w:pPr>
        <w:tabs>
          <w:tab w:val="num" w:pos="0"/>
        </w:tabs>
        <w:ind w:left="360" w:hanging="360"/>
      </w:pPr>
      <w:rPr>
        <w:rFonts w:ascii="1" w:hAnsi="1"/>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num w:numId="1" w16cid:durableId="737245933">
    <w:abstractNumId w:val="1"/>
  </w:num>
  <w:num w:numId="2" w16cid:durableId="1613174112">
    <w:abstractNumId w:val="2"/>
  </w:num>
  <w:num w:numId="3" w16cid:durableId="1381856042">
    <w:abstractNumId w:val="3"/>
  </w:num>
  <w:num w:numId="4" w16cid:durableId="967010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48E9"/>
    <w:rsid w:val="00005143"/>
    <w:rsid w:val="007E48E9"/>
    <w:rsid w:val="00872677"/>
    <w:rsid w:val="008A5222"/>
    <w:rsid w:val="00A209E0"/>
    <w:rsid w:val="00B1577C"/>
    <w:rsid w:val="00CB594F"/>
    <w:rsid w:val="00D7468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0139A"/>
  <w15:docId w15:val="{37030C67-EFB8-4B9B-BDFE-8D4A60C52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pPr>
      <w:keepNext/>
      <w:keepLines/>
      <w:spacing w:before="480"/>
      <w:outlineLvl w:val="0"/>
    </w:pPr>
    <w:rPr>
      <w:rFonts w:ascii="Calibri" w:hAnsi="Calibri" w:cs="Times New Roman"/>
      <w:b/>
      <w:bCs/>
      <w:color w:val="365F91" w:themeColor="accent1" w:themeShade="BF"/>
      <w:sz w:val="28"/>
      <w:szCs w:val="28"/>
    </w:rPr>
  </w:style>
  <w:style w:type="paragraph" w:styleId="Ttulo2">
    <w:name w:val="heading 2"/>
    <w:basedOn w:val="Normal"/>
    <w:next w:val="Normal"/>
    <w:link w:val="Ttulo2Char"/>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pPr>
      <w:keepNext/>
      <w:keepLines/>
      <w:spacing w:before="40" w:line="259" w:lineRule="auto"/>
      <w:outlineLvl w:val="2"/>
    </w:pPr>
    <w:rPr>
      <w:rFonts w:ascii="Calibri" w:hAnsi="Calibri" w:cs="Times New Roman"/>
      <w:color w:val="243F60" w:themeColor="accent1" w:themeShade="7F"/>
      <w:lang w:eastAsia="en-US"/>
    </w:rPr>
  </w:style>
  <w:style w:type="paragraph" w:styleId="Ttulo4">
    <w:name w:val="heading 4"/>
    <w:basedOn w:val="Normal"/>
    <w:next w:val="Normal"/>
    <w:link w:val="Ttulo4Char"/>
    <w:uiPriority w:val="9"/>
    <w:semiHidden/>
    <w:unhideWhenUsed/>
    <w:qFormat/>
    <w:pPr>
      <w:keepNext/>
      <w:keepLines/>
      <w:spacing w:before="40"/>
      <w:outlineLvl w:val="3"/>
    </w:pPr>
    <w:rPr>
      <w:rFonts w:ascii="Calibri" w:hAnsi="Calibri" w:cs="Times New Roman"/>
      <w:i/>
      <w:iCs/>
      <w:color w:val="365F91" w:themeColor="accent1" w:themeShade="BF"/>
    </w:rPr>
  </w:style>
  <w:style w:type="paragraph" w:styleId="Ttulo6">
    <w:name w:val="heading 6"/>
    <w:basedOn w:val="Normal"/>
    <w:next w:val="Normal"/>
    <w:link w:val="Ttulo6Char"/>
    <w:uiPriority w:val="9"/>
    <w:semiHidden/>
    <w:unhideWhenUsed/>
    <w:qFormat/>
    <w:pPr>
      <w:keepNext/>
      <w:keepLines/>
      <w:spacing w:before="40" w:line="259" w:lineRule="auto"/>
      <w:outlineLvl w:val="5"/>
    </w:pPr>
    <w:rPr>
      <w:rFonts w:ascii="Calibri" w:hAnsi="Calibri" w:cs="Times New Roman"/>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Pr>
      <w:rFonts w:ascii="Tahoma" w:hAnsi="Tahoma" w:cs="Tahoma"/>
      <w:sz w:val="16"/>
      <w:szCs w:val="16"/>
    </w:rPr>
  </w:style>
  <w:style w:type="character" w:customStyle="1" w:styleId="Ttulo2Char">
    <w:name w:val="Título 2 Char"/>
    <w:link w:val="Ttulo2"/>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InternetLink">
    <w:name w:val="Internet Link"/>
    <w:qFormat/>
    <w:rPr>
      <w:color w:val="000080"/>
      <w:u w:val="single"/>
    </w:rPr>
  </w:style>
  <w:style w:type="character" w:customStyle="1" w:styleId="CitaoChar">
    <w:name w:val="Citação Char"/>
    <w:link w:val="Citao"/>
    <w:qFormat/>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Pr>
      <w:rFonts w:ascii="Arial" w:eastAsia="Calibri" w:hAnsi="Arial" w:cs="Tahoma"/>
      <w:i/>
      <w:iCs/>
      <w:color w:val="000000"/>
      <w:szCs w:val="24"/>
      <w:shd w:val="clear" w:color="auto" w:fill="FFFFCC"/>
    </w:rPr>
  </w:style>
  <w:style w:type="character" w:customStyle="1" w:styleId="CabealhoChar">
    <w:name w:val="Cabeçalho Char"/>
    <w:link w:val="Cabealho"/>
    <w:qFormat/>
    <w:rPr>
      <w:rFonts w:ascii="Ecofont_Spranq_eco_Sans" w:hAnsi="Ecofont_Spranq_eco_Sans" w:cs="Tahoma"/>
      <w:sz w:val="24"/>
      <w:szCs w:val="24"/>
    </w:rPr>
  </w:style>
  <w:style w:type="character" w:customStyle="1" w:styleId="RodapChar">
    <w:name w:val="Rodapé Char"/>
    <w:link w:val="Rodap"/>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link w:val="Textodecomentrio"/>
    <w:qFormat/>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qFormat/>
    <w:rPr>
      <w:rFonts w:ascii="Ecofont_Spranq_eco_Sans" w:hAnsi="Ecofont_Spranq_eco_Sans" w:cs="Tahoma"/>
      <w:b/>
      <w:bCs/>
      <w:lang w:eastAsia="pt-BR"/>
    </w:rPr>
  </w:style>
  <w:style w:type="character" w:customStyle="1" w:styleId="Ttulo4Char">
    <w:name w:val="Título 4 Char"/>
    <w:basedOn w:val="Fontepargpadro"/>
    <w:link w:val="Ttulo4"/>
    <w:qFormat/>
    <w:rPr>
      <w:rFonts w:ascii="Calibri" w:eastAsia="Segoe UI" w:hAnsi="Calibri" w:cs="Times New Roman"/>
      <w:i/>
      <w:iCs/>
      <w:color w:val="365F91" w:themeColor="accent1" w:themeShade="BF"/>
      <w:sz w:val="24"/>
      <w:szCs w:val="24"/>
      <w:lang w:eastAsia="pt-BR"/>
    </w:rPr>
  </w:style>
  <w:style w:type="character" w:customStyle="1" w:styleId="TtuloChar">
    <w:name w:val="Título Char"/>
    <w:basedOn w:val="Fontepargpadro"/>
    <w:link w:val="Ttulo"/>
    <w:qFormat/>
    <w:rPr>
      <w:rFonts w:ascii="Calibri" w:eastAsia="Segoe UI" w:hAnsi="Calibri" w:cs="Times New Roman"/>
      <w:color w:val="17365D" w:themeColor="dark2" w:themeShade="BF"/>
      <w:spacing w:val="5"/>
      <w:kern w:val="2"/>
      <w:sz w:val="52"/>
      <w:szCs w:val="52"/>
      <w:lang w:eastAsia="pt-BR"/>
    </w:rPr>
  </w:style>
  <w:style w:type="character" w:customStyle="1" w:styleId="Nivel01Char">
    <w:name w:val="Nivel 01 Char"/>
    <w:basedOn w:val="TtuloChar"/>
    <w:link w:val="Nivel01"/>
    <w:qFormat/>
    <w:rPr>
      <w:rFonts w:ascii="Arial" w:eastAsia="Segoe UI" w:hAnsi="Arial" w:cs="Arial"/>
      <w:b/>
      <w:bCs/>
      <w:color w:val="17365D" w:themeColor="dark2" w:themeShade="BF"/>
      <w:spacing w:val="5"/>
      <w:kern w:val="2"/>
      <w:sz w:val="52"/>
      <w:szCs w:val="52"/>
      <w:lang w:eastAsia="pt-BR"/>
    </w:rPr>
  </w:style>
  <w:style w:type="character" w:customStyle="1" w:styleId="Ttulo1Char">
    <w:name w:val="Título 1 Char"/>
    <w:basedOn w:val="Fontepargpadro"/>
    <w:link w:val="Ttulo1"/>
    <w:qFormat/>
    <w:rPr>
      <w:rFonts w:ascii="Calibri" w:eastAsia="Segoe UI" w:hAnsi="Calibri" w:cs="Times New Roman"/>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Segoe UI" w:hAnsi="Arial" w:cs="Times New Roman"/>
      <w:b/>
      <w:bCs/>
      <w:color w:val="000000" w:themeColor="dark1"/>
      <w:spacing w:val="5"/>
      <w:kern w:val="2"/>
      <w:sz w:val="52"/>
      <w:szCs w:val="52"/>
      <w:lang w:eastAsia="pt-BR"/>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link w:val="Corpodetexto"/>
    <w:qFormat/>
    <w:rPr>
      <w:rFonts w:eastAsia="Times New Roman"/>
      <w:sz w:val="24"/>
      <w:szCs w:val="24"/>
      <w:lang w:eastAsia="pt-BR"/>
    </w:rPr>
  </w:style>
  <w:style w:type="character" w:customStyle="1" w:styleId="Nivel1Char">
    <w:name w:val="Nivel1 Char"/>
    <w:basedOn w:val="Ttulo1Char"/>
    <w:link w:val="Nivel1"/>
    <w:qFormat/>
    <w:rPr>
      <w:rFonts w:ascii="Arial" w:eastAsia="Segoe UI" w:hAnsi="Arial" w:cs="Arial"/>
      <w:b/>
      <w:bCs w:val="0"/>
      <w:color w:val="365F91" w:themeColor="accent1" w:themeShade="BF"/>
      <w:sz w:val="28"/>
      <w:szCs w:val="28"/>
      <w:lang w:eastAsia="pt-BR"/>
    </w:rPr>
  </w:style>
  <w:style w:type="character" w:customStyle="1" w:styleId="Nivel4Char">
    <w:name w:val="Nivel 4 Char"/>
    <w:basedOn w:val="Fontepargpadro"/>
    <w:link w:val="Nivel4"/>
    <w:qFormat/>
    <w:rPr>
      <w:rFonts w:ascii="Arial" w:hAnsi="Arial" w:cs="Arial"/>
      <w:lang w:eastAsia="pt-BR"/>
    </w:rPr>
  </w:style>
  <w:style w:type="character" w:customStyle="1" w:styleId="cp0020corpodespachochar1">
    <w:name w:val="cp_0020corpodespacho__char1"/>
    <w:qFormat/>
    <w:rPr>
      <w:rFonts w:ascii="Times New Roman" w:hAnsi="Times New Roman" w:cs="Times New Roman"/>
      <w:strike w:val="0"/>
      <w:dstrike w:val="0"/>
      <w:sz w:val="26"/>
      <w:szCs w:val="26"/>
      <w:u w:val="none"/>
      <w:effect w:val="none"/>
    </w:rPr>
  </w:style>
  <w:style w:type="character" w:customStyle="1" w:styleId="em0020ementachar1">
    <w:name w:val="em_0020ementa__char1"/>
    <w:qFormat/>
    <w:rPr>
      <w:rFonts w:ascii="Times New Roman" w:hAnsi="Times New Roman" w:cs="Times New Roman"/>
      <w:strike w:val="0"/>
      <w:dstrike w:val="0"/>
      <w:sz w:val="28"/>
      <w:szCs w:val="28"/>
      <w:u w:val="none"/>
      <w:effect w:val="none"/>
    </w:rPr>
  </w:style>
  <w:style w:type="character" w:styleId="Forte">
    <w:name w:val="Strong"/>
    <w:basedOn w:val="Fontepargpadro"/>
    <w:qFormat/>
    <w:rPr>
      <w:b/>
      <w:bCs/>
    </w:rPr>
  </w:style>
  <w:style w:type="character" w:styleId="nfase">
    <w:name w:val="Emphasis"/>
    <w:basedOn w:val="Fontepargpadro"/>
    <w:qFormat/>
    <w:rPr>
      <w:i/>
      <w:iCs/>
    </w:rPr>
  </w:style>
  <w:style w:type="character" w:customStyle="1" w:styleId="Manoel">
    <w:name w:val="Manoel"/>
    <w:qFormat/>
    <w:rPr>
      <w:rFonts w:ascii="Arial" w:hAnsi="Arial" w:cs="Arial"/>
      <w:color w:val="7030A0"/>
      <w:sz w:val="20"/>
    </w:rPr>
  </w:style>
  <w:style w:type="character" w:customStyle="1" w:styleId="GradeColorida-nfase1Char">
    <w:name w:val="Grade Colorida - Ênfase 1 Char"/>
    <w:link w:val="GradeColorida-nfase11"/>
    <w:qFormat/>
    <w:rPr>
      <w:rFonts w:ascii="Arial" w:eastAsia="Calibri" w:hAnsi="Arial"/>
      <w:i/>
      <w:iCs/>
      <w:color w:val="000000"/>
      <w:szCs w:val="24"/>
      <w:shd w:val="clear" w:color="auto" w:fill="FFFFCC"/>
    </w:rPr>
  </w:style>
  <w:style w:type="character" w:customStyle="1" w:styleId="highlight">
    <w:name w:val="highlight"/>
    <w:basedOn w:val="Fontepargpadro"/>
    <w:qFormat/>
  </w:style>
  <w:style w:type="character" w:styleId="HiperlinkVisitado">
    <w:name w:val="FollowedHyperlink"/>
    <w:basedOn w:val="Fontepargpadro"/>
    <w:rPr>
      <w:color w:val="800080" w:themeColor="followedHyperlink"/>
      <w:u w:val="single"/>
    </w:rPr>
  </w:style>
  <w:style w:type="character" w:customStyle="1" w:styleId="MenoPendente1">
    <w:name w:val="Menção Pendente1"/>
    <w:basedOn w:val="Fontepargpadro"/>
    <w:qFormat/>
    <w:rPr>
      <w:color w:val="605E5C"/>
      <w:shd w:val="clear" w:color="auto" w:fill="E1DFDD"/>
    </w:rPr>
  </w:style>
  <w:style w:type="character" w:customStyle="1" w:styleId="MenoPendente2">
    <w:name w:val="Menção Pendente2"/>
    <w:basedOn w:val="Fontepargpadro"/>
    <w:qFormat/>
    <w:rPr>
      <w:color w:val="605E5C"/>
      <w:shd w:val="clear" w:color="auto" w:fill="E1DFDD"/>
    </w:rPr>
  </w:style>
  <w:style w:type="character" w:customStyle="1" w:styleId="Nivel2Char">
    <w:name w:val="Nivel 2 Char"/>
    <w:basedOn w:val="Fontepargpadro"/>
    <w:link w:val="Nivel2"/>
    <w:qFormat/>
    <w:rPr>
      <w:rFonts w:ascii="Arial" w:hAnsi="Arial" w:cs="Arial"/>
      <w:color w:val="000000"/>
      <w:lang w:eastAsia="pt-BR"/>
    </w:rPr>
  </w:style>
  <w:style w:type="character" w:customStyle="1" w:styleId="Nvel2OpcionalChar">
    <w:name w:val="Nível 2 Opcional Char"/>
    <w:basedOn w:val="Fontepargpadro"/>
    <w:link w:val="Nvel2Opcional"/>
    <w:qFormat/>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Pr>
      <w:rFonts w:ascii="Arial" w:eastAsia="Times New Roman" w:hAnsi="Arial" w:cs="Arial"/>
      <w:i/>
      <w:iCs/>
      <w:color w:val="FF0000"/>
      <w:lang w:eastAsia="pt-BR"/>
    </w:rPr>
  </w:style>
  <w:style w:type="character" w:styleId="TextodoEspaoReservado">
    <w:name w:val="Placeholder Text"/>
    <w:basedOn w:val="Fontepargpadro"/>
    <w:qFormat/>
    <w:rPr>
      <w:color w:val="808080"/>
    </w:rPr>
  </w:style>
  <w:style w:type="character" w:customStyle="1" w:styleId="PargrafodaListaChar">
    <w:name w:val="Parágrafo da Lista Char"/>
    <w:basedOn w:val="Fontepargpadro"/>
    <w:link w:val="PargrafodaLista"/>
    <w:qFormat/>
    <w:rPr>
      <w:rFonts w:ascii="Ecofont_Spranq_eco_Sans" w:hAnsi="Ecofont_Spranq_eco_Sans" w:cs="Tahoma"/>
      <w:sz w:val="24"/>
      <w:szCs w:val="24"/>
      <w:lang w:eastAsia="pt-BR"/>
    </w:rPr>
  </w:style>
  <w:style w:type="character" w:customStyle="1" w:styleId="Ttulo3Char">
    <w:name w:val="Título 3 Char"/>
    <w:basedOn w:val="Fontepargpadro"/>
    <w:link w:val="Ttulo3"/>
    <w:qFormat/>
    <w:rPr>
      <w:rFonts w:ascii="Calibri" w:eastAsia="Segoe UI" w:hAnsi="Calibri" w:cs="Times New Roman"/>
      <w:color w:val="243F60" w:themeColor="accent1" w:themeShade="7F"/>
      <w:sz w:val="24"/>
      <w:szCs w:val="24"/>
    </w:rPr>
  </w:style>
  <w:style w:type="character" w:customStyle="1" w:styleId="Ttulo6Char">
    <w:name w:val="Título 6 Char"/>
    <w:basedOn w:val="Fontepargpadro"/>
    <w:link w:val="Ttulo6"/>
    <w:qFormat/>
    <w:rPr>
      <w:rFonts w:ascii="Calibri" w:eastAsia="Segoe UI" w:hAnsi="Calibri" w:cs="Times New Roman"/>
      <w:color w:val="243F60" w:themeColor="accent1" w:themeShade="7F"/>
      <w:sz w:val="22"/>
      <w:szCs w:val="22"/>
    </w:rPr>
  </w:style>
  <w:style w:type="character" w:customStyle="1" w:styleId="markedcontent">
    <w:name w:val="markedcontent"/>
    <w:basedOn w:val="Fontepargpadro"/>
    <w:qFormat/>
  </w:style>
  <w:style w:type="character" w:customStyle="1" w:styleId="MenoPendente3">
    <w:name w:val="Menção Pendente3"/>
    <w:basedOn w:val="Fontepargpadro"/>
    <w:qFormat/>
    <w:rPr>
      <w:color w:val="605E5C"/>
      <w:shd w:val="clear" w:color="auto" w:fill="E1DFDD"/>
    </w:rPr>
  </w:style>
  <w:style w:type="character" w:customStyle="1" w:styleId="MenoPendente4">
    <w:name w:val="Menção Pendente4"/>
    <w:basedOn w:val="Fontepargpadro"/>
    <w:qFormat/>
    <w:rPr>
      <w:color w:val="605E5C"/>
      <w:shd w:val="clear" w:color="auto" w:fill="E1DFDD"/>
    </w:rPr>
  </w:style>
  <w:style w:type="character" w:customStyle="1" w:styleId="ouChar">
    <w:name w:val="ou Char"/>
    <w:basedOn w:val="PargrafodaListaChar"/>
    <w:link w:val="ou"/>
    <w:qFormat/>
    <w:rPr>
      <w:rFonts w:ascii="Arial" w:eastAsia="Cambria" w:hAnsi="Arial" w:cs="Arial"/>
      <w:b/>
      <w:bCs/>
      <w:i/>
      <w:iCs/>
      <w:color w:val="FF0000"/>
      <w:sz w:val="24"/>
      <w:szCs w:val="24"/>
      <w:u w:val="single"/>
      <w:lang w:eastAsia="pt-BR"/>
    </w:rPr>
  </w:style>
  <w:style w:type="character" w:customStyle="1" w:styleId="Nvel2-RedChar">
    <w:name w:val="Nível 2 -Red Char"/>
    <w:basedOn w:val="Nivel2Char"/>
    <w:link w:val="Nvel2-Red"/>
    <w:qFormat/>
    <w:rPr>
      <w:rFonts w:ascii="Arial" w:hAnsi="Arial" w:cs="Arial"/>
      <w:i/>
      <w:iCs/>
      <w:color w:val="FF0000"/>
      <w:lang w:eastAsia="pt-BR"/>
    </w:rPr>
  </w:style>
  <w:style w:type="character" w:customStyle="1" w:styleId="Nivel3Char">
    <w:name w:val="Nivel 3 Char"/>
    <w:basedOn w:val="Fontepargpadro"/>
    <w:link w:val="Nivel3"/>
    <w:qFormat/>
    <w:rPr>
      <w:rFonts w:ascii="Arial" w:hAnsi="Arial" w:cs="Arial"/>
      <w:color w:val="000000"/>
      <w:lang w:eastAsia="pt-BR"/>
    </w:rPr>
  </w:style>
  <w:style w:type="character" w:customStyle="1" w:styleId="Nvel3-RChar">
    <w:name w:val="Nível 3-R Char"/>
    <w:basedOn w:val="Nivel3Char"/>
    <w:link w:val="Nvel3-R"/>
    <w:qFormat/>
    <w:rPr>
      <w:rFonts w:ascii="Arial" w:hAnsi="Arial" w:cs="Arial"/>
      <w:i/>
      <w:iCs/>
      <w:color w:val="FF0000"/>
      <w:lang w:eastAsia="pt-BR"/>
    </w:rPr>
  </w:style>
  <w:style w:type="character" w:customStyle="1" w:styleId="Nvel4-RChar">
    <w:name w:val="Nível 4-R Char"/>
    <w:basedOn w:val="Nivel4Char"/>
    <w:link w:val="Nvel4-R"/>
    <w:qFormat/>
    <w:rPr>
      <w:rFonts w:ascii="Arial" w:hAnsi="Arial" w:cs="Arial"/>
      <w:i/>
      <w:iCs/>
      <w:color w:val="FF0000"/>
      <w:lang w:eastAsia="pt-BR"/>
    </w:rPr>
  </w:style>
  <w:style w:type="character" w:customStyle="1" w:styleId="InternetLink1">
    <w:name w:val="Internet Link1"/>
    <w:basedOn w:val="Fontepargpadro"/>
    <w:qFormat/>
    <w:rPr>
      <w:color w:val="0000FF" w:themeColor="hyperlink"/>
      <w:u w:val="single"/>
    </w:rPr>
  </w:style>
  <w:style w:type="character" w:customStyle="1" w:styleId="Nvel1-SemNumChar">
    <w:name w:val="Nível 1-Sem Num Char"/>
    <w:basedOn w:val="Nivel01Char"/>
    <w:link w:val="Nvel1-SemNum"/>
    <w:qFormat/>
    <w:rPr>
      <w:rFonts w:ascii="Arial" w:eastAsia="Segoe UI" w:hAnsi="Arial" w:cs="Arial"/>
      <w:b/>
      <w:bCs/>
      <w:color w:val="17365D" w:themeColor="dark2" w:themeShade="BF"/>
      <w:spacing w:val="5"/>
      <w:kern w:val="2"/>
      <w:sz w:val="52"/>
      <w:szCs w:val="52"/>
      <w:lang w:eastAsia="pt-BR"/>
    </w:rPr>
  </w:style>
  <w:style w:type="character" w:customStyle="1" w:styleId="PrembuloChar">
    <w:name w:val="Preâmbulo Char"/>
    <w:basedOn w:val="Fontepargpadro"/>
    <w:link w:val="Prembulo"/>
    <w:qFormat/>
    <w:rPr>
      <w:rFonts w:ascii="Arial" w:eastAsia="Arial" w:hAnsi="Arial" w:cs="Arial"/>
      <w:bCs/>
      <w:lang w:eastAsia="pt-BR"/>
    </w:rPr>
  </w:style>
  <w:style w:type="character" w:customStyle="1" w:styleId="MenoPendente5">
    <w:name w:val="Menção Pendente5"/>
    <w:basedOn w:val="Fontepargpadro"/>
    <w:qFormat/>
    <w:rPr>
      <w:color w:val="605E5C"/>
      <w:shd w:val="clear" w:color="auto" w:fill="E1DFDD"/>
    </w:rPr>
  </w:style>
  <w:style w:type="character" w:customStyle="1" w:styleId="citao2Char">
    <w:name w:val="citação 2 Char"/>
    <w:basedOn w:val="CitaoChar"/>
    <w:link w:val="citao2"/>
    <w:qFormat/>
    <w:rPr>
      <w:rFonts w:ascii="Arial" w:eastAsia="Calibri" w:hAnsi="Arial" w:cs="Tahoma"/>
      <w:i/>
      <w:iCs/>
      <w:color w:val="000000"/>
      <w:szCs w:val="24"/>
      <w:shd w:val="clear" w:color="auto" w:fill="FFFFCC"/>
    </w:rPr>
  </w:style>
  <w:style w:type="character" w:customStyle="1" w:styleId="MenoPendente6">
    <w:name w:val="Menção Pendente6"/>
    <w:basedOn w:val="Fontepargpadro"/>
    <w:qFormat/>
    <w:rPr>
      <w:color w:val="605E5C"/>
      <w:shd w:val="clear" w:color="auto" w:fill="E1DFDD"/>
    </w:rPr>
  </w:style>
  <w:style w:type="character" w:customStyle="1" w:styleId="Mentionnonrsolue1">
    <w:name w:val="Mention non résolue1"/>
    <w:basedOn w:val="Fontepargpadro"/>
    <w:qFormat/>
    <w:rPr>
      <w:color w:val="605E5C"/>
      <w:shd w:val="clear" w:color="auto" w:fill="E1DFDD"/>
    </w:rPr>
  </w:style>
  <w:style w:type="character" w:customStyle="1" w:styleId="MenoPendente7">
    <w:name w:val="Menção Pendente7"/>
    <w:basedOn w:val="Fontepargpadro"/>
    <w:qFormat/>
    <w:rPr>
      <w:color w:val="605E5C"/>
      <w:shd w:val="clear" w:color="auto" w:fill="E1DFDD"/>
    </w:rPr>
  </w:style>
  <w:style w:type="character" w:styleId="MenoPendente">
    <w:name w:val="Unresolved Mention"/>
    <w:basedOn w:val="Fontepargpadro"/>
    <w:qFormat/>
    <w:rPr>
      <w:color w:val="605E5C"/>
      <w:shd w:val="clear" w:color="auto" w:fill="E1DFDD"/>
    </w:rPr>
  </w:style>
  <w:style w:type="character" w:customStyle="1" w:styleId="dark-mode-color-black">
    <w:name w:val="dark-mode-color-black"/>
    <w:basedOn w:val="Fontepargpadro"/>
    <w:qFormat/>
  </w:style>
  <w:style w:type="character" w:customStyle="1" w:styleId="cf01">
    <w:name w:val="cf01"/>
    <w:basedOn w:val="Fontepargpadro"/>
    <w:qFormat/>
    <w:rPr>
      <w:rFonts w:ascii="Segoe UI" w:hAnsi="Segoe UI" w:cs="Segoe UI"/>
      <w:sz w:val="18"/>
      <w:szCs w:val="18"/>
      <w:shd w:val="clear" w:color="auto" w:fill="00FF00"/>
    </w:rPr>
  </w:style>
  <w:style w:type="character" w:styleId="Meno">
    <w:name w:val="Mention"/>
    <w:basedOn w:val="Fontepargpadro"/>
    <w:qFormat/>
    <w:rPr>
      <w:color w:val="2B579A"/>
      <w:shd w:val="clear" w:color="auto" w:fill="E6E6E6"/>
    </w:rPr>
  </w:style>
  <w:style w:type="character" w:customStyle="1" w:styleId="WW8Num13z2">
    <w:name w:val="WW8Num13z2"/>
    <w:qFormat/>
  </w:style>
  <w:style w:type="character" w:customStyle="1" w:styleId="Fontepargpadro1">
    <w:name w:val="Fonte parág. padrão1"/>
    <w:qFormat/>
  </w:style>
  <w:style w:type="character" w:styleId="Nmerodepgina">
    <w:name w:val="page number"/>
    <w:basedOn w:val="Fontepargpadro1"/>
  </w:style>
  <w:style w:type="character" w:customStyle="1" w:styleId="Vnculodendice">
    <w:name w:val="Vínculo de índice"/>
    <w:qFormat/>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customStyle="1" w:styleId="InternetLink6">
    <w:name w:val="Internet Link6"/>
    <w:qFormat/>
    <w:rPr>
      <w:color w:val="000080"/>
      <w:u w:val="single"/>
    </w:rPr>
  </w:style>
  <w:style w:type="character" w:customStyle="1" w:styleId="InternetLink7">
    <w:name w:val="Internet Link7"/>
    <w:qFormat/>
    <w:rPr>
      <w:color w:val="000080"/>
      <w:u w:val="single"/>
    </w:rPr>
  </w:style>
  <w:style w:type="character" w:customStyle="1" w:styleId="InternetLink8">
    <w:name w:val="Internet Link8"/>
    <w:qFormat/>
    <w:rPr>
      <w:color w:val="000080"/>
      <w:u w:val="single"/>
    </w:rPr>
  </w:style>
  <w:style w:type="character" w:styleId="Hyperlink">
    <w:name w:val="Hyperlink"/>
    <w:rPr>
      <w:color w:val="000080"/>
      <w:u w:val="single"/>
    </w:rPr>
  </w:style>
  <w:style w:type="paragraph" w:styleId="Ttulo">
    <w:name w:val="Title"/>
    <w:basedOn w:val="Normal"/>
    <w:next w:val="Corpodetexto"/>
    <w:link w:val="TtuloChar"/>
    <w:uiPriority w:val="10"/>
    <w:qFormat/>
    <w:pPr>
      <w:pBdr>
        <w:bottom w:val="single" w:sz="8" w:space="4" w:color="4F81BD"/>
      </w:pBdr>
      <w:spacing w:after="300"/>
      <w:contextualSpacing/>
    </w:pPr>
    <w:rPr>
      <w:rFonts w:ascii="Calibri" w:hAnsi="Calibri" w:cs="Times New Roman"/>
      <w:color w:val="17365D" w:themeColor="dark2" w:themeShade="BF"/>
      <w:spacing w:val="5"/>
      <w:kern w:val="2"/>
      <w:sz w:val="52"/>
      <w:szCs w:val="52"/>
    </w:rPr>
  </w:style>
  <w:style w:type="paragraph" w:styleId="Corpodetexto">
    <w:name w:val="Body Text"/>
    <w:basedOn w:val="Normal"/>
    <w:link w:val="CorpodetextoChar"/>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link w:val="PargrafodaListaChar"/>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link w:val="TextodebaloChar"/>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pPr>
      <w:numPr>
        <w:numId w:val="2"/>
      </w:numPr>
      <w:contextualSpacing/>
    </w:pPr>
  </w:style>
  <w:style w:type="paragraph" w:customStyle="1" w:styleId="Notaexplicativa">
    <w:name w:val="Nota explicativa"/>
    <w:basedOn w:val="Citao"/>
    <w:link w:val="NotaexplicativaChar"/>
    <w:qFormat/>
    <w:rPr>
      <w:szCs w:val="20"/>
    </w:rPr>
  </w:style>
  <w:style w:type="paragraph" w:customStyle="1" w:styleId="Cabealhoerodap">
    <w:name w:val="Cabeçalho e rodapé"/>
    <w:basedOn w:val="Normal"/>
    <w:qFormat/>
  </w:style>
  <w:style w:type="paragraph" w:styleId="Cabealho">
    <w:name w:val="header"/>
    <w:basedOn w:val="Normal"/>
    <w:link w:val="CabealhoChar"/>
    <w:pPr>
      <w:tabs>
        <w:tab w:val="center" w:pos="4252"/>
        <w:tab w:val="right" w:pos="8504"/>
      </w:tabs>
    </w:pPr>
  </w:style>
  <w:style w:type="paragraph" w:styleId="Rodap">
    <w:name w:val="footer"/>
    <w:basedOn w:val="Normal"/>
    <w:link w:val="RodapChar"/>
    <w:pPr>
      <w:tabs>
        <w:tab w:val="center" w:pos="4252"/>
        <w:tab w:val="right" w:pos="8504"/>
      </w:tabs>
    </w:pPr>
  </w:style>
  <w:style w:type="paragraph" w:styleId="Textodecomentrio">
    <w:name w:val="annotation text"/>
    <w:basedOn w:val="Normal"/>
    <w:link w:val="TextodecomentrioChar"/>
    <w:rPr>
      <w:sz w:val="20"/>
      <w:szCs w:val="20"/>
    </w:rPr>
  </w:style>
  <w:style w:type="paragraph" w:styleId="Assuntodocomentrio">
    <w:name w:val="annotation subject"/>
    <w:basedOn w:val="Textodecomentrio"/>
    <w:next w:val="Textodecomentrio"/>
    <w:link w:val="AssuntodocomentrioChar"/>
    <w:qFormat/>
    <w:rPr>
      <w:b/>
      <w:bCs/>
    </w:rPr>
  </w:style>
  <w:style w:type="paragraph" w:customStyle="1" w:styleId="Nivel01">
    <w:name w:val="Nivel 01"/>
    <w:basedOn w:val="Ttulo1"/>
    <w:next w:val="Normal"/>
    <w:link w:val="Nivel01Char"/>
    <w:autoRedefine/>
    <w:qFormat/>
    <w:pPr>
      <w:numPr>
        <w:numId w:val="1"/>
      </w:numPr>
      <w:tabs>
        <w:tab w:val="left" w:pos="567"/>
      </w:tabs>
      <w:spacing w:before="288" w:after="288" w:line="312" w:lineRule="auto"/>
      <w:ind w:left="360"/>
      <w:jc w:val="both"/>
    </w:pPr>
    <w:rPr>
      <w:rFonts w:ascii="Arial" w:hAnsi="Arial" w:cs="Arial"/>
      <w:sz w:val="20"/>
      <w:szCs w:val="20"/>
    </w:rPr>
  </w:style>
  <w:style w:type="paragraph" w:customStyle="1" w:styleId="Nivel01Titulo">
    <w:name w:val="Nivel_01_Titulo"/>
    <w:basedOn w:val="Nivel01"/>
    <w:link w:val="Nivel01TituloChar"/>
    <w:qFormat/>
    <w:pPr>
      <w:jc w:val="left"/>
    </w:pPr>
    <w:rPr>
      <w:rFonts w:cs="Times New Roman"/>
      <w:color w:val="000000" w:themeColor="dark1"/>
      <w:spacing w:val="5"/>
      <w:kern w:val="2"/>
      <w:sz w:val="52"/>
      <w:szCs w:val="52"/>
    </w:rPr>
  </w:style>
  <w:style w:type="paragraph" w:customStyle="1" w:styleId="PADRO">
    <w:name w:val="PADRÃO"/>
    <w:qFormat/>
    <w:pPr>
      <w:keepNext/>
      <w:widowControl w:val="0"/>
      <w:shd w:val="clear" w:color="auto" w:fill="FFFFFF"/>
      <w:overflowPunct w:val="0"/>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link w:val="Nivel1Char"/>
    <w:qFormat/>
    <w:pPr>
      <w:spacing w:line="276" w:lineRule="auto"/>
      <w:ind w:left="357" w:hanging="357"/>
      <w:jc w:val="both"/>
    </w:pPr>
    <w:rPr>
      <w:rFonts w:ascii="Arial" w:hAnsi="Arial" w:cs="Arial"/>
      <w:bCs w:val="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basedOn w:val="Normal"/>
    <w:link w:val="Nivel2Char"/>
    <w:qFormat/>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pPr>
      <w:numPr>
        <w:ilvl w:val="0"/>
        <w:numId w:val="0"/>
      </w:numPr>
      <w:ind w:left="360" w:hanging="360"/>
    </w:pPr>
    <w:rPr>
      <w:b/>
    </w:rPr>
  </w:style>
  <w:style w:type="paragraph" w:customStyle="1" w:styleId="Nivel3">
    <w:name w:val="Nivel 3"/>
    <w:basedOn w:val="Normal"/>
    <w:link w:val="Nivel3Char"/>
    <w:qFormat/>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pPr>
      <w:ind w:left="567"/>
    </w:pPr>
    <w:rPr>
      <w:color w:val="auto"/>
    </w:rPr>
  </w:style>
  <w:style w:type="paragraph" w:customStyle="1" w:styleId="Nivel5">
    <w:name w:val="Nivel 5"/>
    <w:basedOn w:val="Nivel4"/>
    <w:qFormat/>
    <w:pPr>
      <w:ind w:left="851"/>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em0020ementa">
    <w:name w:val="em_0020ementa"/>
    <w:basedOn w:val="Normal"/>
    <w:qFormat/>
    <w:pPr>
      <w:ind w:left="4160"/>
      <w:jc w:val="both"/>
    </w:pPr>
    <w:rPr>
      <w:rFonts w:ascii="Times New Roman" w:eastAsia="Times New Roman" w:hAnsi="Times New Roman" w:cs="Times New Roman"/>
      <w:sz w:val="28"/>
      <w:szCs w:val="28"/>
    </w:rPr>
  </w:style>
  <w:style w:type="paragraph" w:styleId="Reviso">
    <w:name w:val="Revision"/>
    <w:qFormat/>
    <w:pPr>
      <w:overflowPunct w:val="0"/>
    </w:pPr>
    <w:rPr>
      <w:rFonts w:ascii="Ecofont_Spranq_eco_Sans" w:eastAsia="Times New Roman" w:hAnsi="Ecofont_Spranq_eco_Sans" w:cs="Tahoma"/>
      <w:sz w:val="24"/>
      <w:szCs w:val="24"/>
      <w:lang w:eastAsia="pt-BR"/>
    </w:rPr>
  </w:style>
  <w:style w:type="paragraph" w:customStyle="1" w:styleId="texto1">
    <w:name w:val="texto1"/>
    <w:basedOn w:val="Normal"/>
    <w:qFormat/>
    <w:pPr>
      <w:spacing w:before="280" w:after="280"/>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pPr>
      <w:spacing w:before="280" w:after="280"/>
    </w:pPr>
    <w:rPr>
      <w:rFonts w:ascii="Times New Roman" w:eastAsia="Times New Roman" w:hAnsi="Times New Roman" w:cs="Times New Roman"/>
    </w:rPr>
  </w:style>
  <w:style w:type="paragraph" w:customStyle="1" w:styleId="TCU-Ac-item9-0">
    <w:name w:val="TCU - Ac - item 9 - §§_0"/>
    <w:basedOn w:val="Normal"/>
    <w:qFormat/>
    <w:pPr>
      <w:ind w:firstLine="1134"/>
      <w:jc w:val="both"/>
    </w:pPr>
    <w:rPr>
      <w:rFonts w:ascii="Times New Roman" w:eastAsia="Times New Roman" w:hAnsi="Times New Roman" w:cs="Times New Roman"/>
      <w:szCs w:val="22"/>
      <w:lang w:eastAsia="en-US"/>
    </w:rPr>
  </w:style>
  <w:style w:type="paragraph" w:customStyle="1" w:styleId="Normal1">
    <w:name w:val="Normal_1"/>
    <w:qFormat/>
    <w:pPr>
      <w:overflowPunct w:val="0"/>
    </w:pPr>
    <w:rPr>
      <w:rFonts w:eastAsia="Times New Roman"/>
      <w:sz w:val="24"/>
      <w:szCs w:val="22"/>
    </w:rPr>
  </w:style>
  <w:style w:type="paragraph" w:customStyle="1" w:styleId="tcu-ac-item9-1linha">
    <w:name w:val="tcu_-__ac_-_item_9_-_1ª_linha"/>
    <w:basedOn w:val="Normal"/>
    <w:qFormat/>
    <w:pPr>
      <w:spacing w:before="280" w:after="280"/>
    </w:pPr>
    <w:rPr>
      <w:rFonts w:ascii="Times New Roman" w:eastAsia="Times New Roman" w:hAnsi="Times New Roman" w:cs="Times New Roman"/>
    </w:rPr>
  </w:style>
  <w:style w:type="paragraph" w:customStyle="1" w:styleId="textojustificadorecuoprimeiralinha">
    <w:name w:val="texto_justificado_recuo_primeira_linha"/>
    <w:basedOn w:val="Normal"/>
    <w:qFormat/>
    <w:pPr>
      <w:spacing w:before="280" w:after="280"/>
    </w:pPr>
    <w:rPr>
      <w:rFonts w:ascii="Times New Roman" w:eastAsia="Times New Roman" w:hAnsi="Times New Roman" w:cs="Times New Roman"/>
    </w:rPr>
  </w:style>
  <w:style w:type="paragraph" w:customStyle="1" w:styleId="textojustificado">
    <w:name w:val="texto_justificado"/>
    <w:basedOn w:val="Normal"/>
    <w:qFormat/>
    <w:pPr>
      <w:spacing w:before="280" w:after="280"/>
    </w:pPr>
    <w:rPr>
      <w:rFonts w:ascii="Times New Roman" w:eastAsia="Times New Roman" w:hAnsi="Times New Roman" w:cs="Times New Roman"/>
    </w:rPr>
  </w:style>
  <w:style w:type="paragraph" w:customStyle="1" w:styleId="Nvel2Opcional">
    <w:name w:val="Nível 2 Opcional"/>
    <w:basedOn w:val="Nivel2"/>
    <w:link w:val="Nvel2OpcionalChar"/>
    <w:qFormat/>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pPr>
      <w:numPr>
        <w:ilvl w:val="0"/>
        <w:numId w:val="0"/>
      </w:numPr>
      <w:ind w:left="1072" w:hanging="504"/>
    </w:pPr>
    <w:rPr>
      <w:rFonts w:eastAsia="Times New Roman"/>
      <w:i/>
      <w:iCs/>
      <w:color w:val="FF0000"/>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pPr>
      <w:spacing w:before="280" w:after="280"/>
    </w:pPr>
    <w:rPr>
      <w:rFonts w:ascii="Times New Roman" w:eastAsia="Times New Roman" w:hAnsi="Times New Roman" w:cs="Times New Roman"/>
    </w:rPr>
  </w:style>
  <w:style w:type="paragraph" w:customStyle="1" w:styleId="itemnivel2">
    <w:name w:val="item_nivel2"/>
    <w:basedOn w:val="Normal"/>
    <w:qFormat/>
    <w:pPr>
      <w:spacing w:before="280" w:after="280"/>
    </w:pPr>
    <w:rPr>
      <w:rFonts w:ascii="Times New Roman" w:eastAsia="Times New Roman" w:hAnsi="Times New Roman" w:cs="Times New Roman"/>
    </w:rPr>
  </w:style>
  <w:style w:type="paragraph" w:customStyle="1" w:styleId="itemnivel1">
    <w:name w:val="item_nivel1"/>
    <w:basedOn w:val="Normal"/>
    <w:qFormat/>
    <w:pPr>
      <w:spacing w:before="280" w:after="280"/>
    </w:pPr>
    <w:rPr>
      <w:rFonts w:ascii="Times New Roman" w:eastAsia="Times New Roman" w:hAnsi="Times New Roman" w:cs="Times New Roman"/>
    </w:rPr>
  </w:style>
  <w:style w:type="paragraph" w:customStyle="1" w:styleId="itemalinealetra">
    <w:name w:val="item_alinea_letra"/>
    <w:basedOn w:val="Normal"/>
    <w:qFormat/>
    <w:pPr>
      <w:spacing w:before="280" w:after="280"/>
    </w:pPr>
    <w:rPr>
      <w:rFonts w:ascii="Times New Roman" w:eastAsia="Times New Roman" w:hAnsi="Times New Roman" w:cs="Times New Roman"/>
    </w:rPr>
  </w:style>
  <w:style w:type="paragraph" w:customStyle="1" w:styleId="Standard">
    <w:name w:val="Standard"/>
    <w:qFormat/>
    <w:pPr>
      <w:overflowPunct w:val="0"/>
    </w:pPr>
    <w:rPr>
      <w:rFonts w:ascii="Liberation Serif" w:eastAsia="NSimSun" w:hAnsi="Liberation Serif" w:cs="Lucida Sans"/>
      <w:kern w:val="2"/>
      <w:sz w:val="24"/>
      <w:szCs w:val="24"/>
      <w:lang w:eastAsia="zh-CN" w:bidi="hi-IN"/>
    </w:rPr>
  </w:style>
  <w:style w:type="paragraph" w:customStyle="1" w:styleId="Textbody0">
    <w:name w:val="Text body"/>
    <w:basedOn w:val="Standard"/>
    <w:qFormat/>
    <w:pPr>
      <w:spacing w:after="140" w:line="276" w:lineRule="auto"/>
    </w:pPr>
  </w:style>
  <w:style w:type="paragraph" w:customStyle="1" w:styleId="ou">
    <w:name w:val="ou"/>
    <w:basedOn w:val="PargrafodaLista"/>
    <w:link w:val="ouChar"/>
    <w:qFormat/>
    <w:pPr>
      <w:spacing w:before="60" w:after="60" w:line="259" w:lineRule="auto"/>
      <w:ind w:left="0"/>
      <w:contextualSpacing w:val="0"/>
      <w:jc w:val="center"/>
    </w:pPr>
    <w:rPr>
      <w:rFonts w:ascii="Arial" w:eastAsia="Cambria" w:hAnsi="Arial" w:cs="Arial"/>
      <w:b/>
      <w:bCs/>
      <w:i/>
      <w:iCs/>
      <w:color w:val="FF0000"/>
      <w:u w:val="single"/>
    </w:rPr>
  </w:style>
  <w:style w:type="paragraph" w:customStyle="1" w:styleId="dou-paragraph">
    <w:name w:val="dou-paragraph"/>
    <w:basedOn w:val="Normal"/>
    <w:qFormat/>
    <w:pPr>
      <w:spacing w:before="280" w:after="280"/>
    </w:pPr>
    <w:rPr>
      <w:rFonts w:ascii="Times New Roman" w:eastAsia="Times New Roman" w:hAnsi="Times New Roman" w:cs="Times New Roman"/>
    </w:r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paragraph" w:customStyle="1" w:styleId="Nvel4-R">
    <w:name w:val="Nível 4-R"/>
    <w:basedOn w:val="Nivel4"/>
    <w:link w:val="Nvel4-RChar"/>
    <w:qFormat/>
    <w:rPr>
      <w:i/>
      <w:iCs/>
      <w:color w:val="FF0000"/>
    </w:rPr>
  </w:style>
  <w:style w:type="paragraph" w:customStyle="1" w:styleId="Nvel1-SemNum">
    <w:name w:val="Nível 1-Sem Num"/>
    <w:basedOn w:val="Nivel01"/>
    <w:link w:val="Nvel1-SemNumChar"/>
    <w:qFormat/>
    <w:pPr>
      <w:ind w:left="0"/>
      <w:outlineLvl w:val="1"/>
    </w:pPr>
  </w:style>
  <w:style w:type="paragraph" w:customStyle="1" w:styleId="citao2">
    <w:name w:val="citação 2"/>
    <w:basedOn w:val="Citao"/>
    <w:link w:val="citao2Char"/>
    <w:qFormat/>
    <w:pPr>
      <w:overflowPunct/>
    </w:pPr>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paragraph" w:styleId="Ttulodendiceremissivo">
    <w:name w:val="index heading"/>
    <w:basedOn w:val="Ttulo"/>
  </w:style>
  <w:style w:type="paragraph" w:styleId="CabealhodoSumrio">
    <w:name w:val="TOC Heading"/>
    <w:basedOn w:val="Ttulo1"/>
    <w:next w:val="Normal"/>
    <w:qFormat/>
    <w:pPr>
      <w:spacing w:before="240" w:line="259" w:lineRule="auto"/>
      <w:outlineLvl w:val="9"/>
    </w:pPr>
    <w:rPr>
      <w:b w:val="0"/>
      <w:bCs w:val="0"/>
      <w:sz w:val="32"/>
      <w:szCs w:val="32"/>
    </w:rPr>
  </w:style>
  <w:style w:type="paragraph" w:styleId="Sumrio1">
    <w:name w:val="toc 1"/>
    <w:basedOn w:val="Normal"/>
    <w:next w:val="Normal"/>
    <w:autoRedefine/>
    <w:pPr>
      <w:tabs>
        <w:tab w:val="left" w:pos="426"/>
        <w:tab w:val="right" w:leader="dot" w:pos="9628"/>
      </w:tabs>
      <w:spacing w:after="100"/>
    </w:pPr>
    <w:rPr>
      <w:rFonts w:ascii="Arial" w:eastAsia="Times New Roman" w:hAnsi="Arial"/>
      <w:sz w:val="20"/>
    </w:rPr>
  </w:style>
  <w:style w:type="paragraph" w:styleId="SemEspaamento">
    <w:name w:val="No Spacing"/>
    <w:qFormat/>
    <w:pPr>
      <w:overflowPunct w:val="0"/>
    </w:pPr>
    <w:rPr>
      <w:rFonts w:eastAsia="Times New Roman"/>
      <w:sz w:val="22"/>
      <w:szCs w:val="22"/>
    </w:rPr>
  </w:style>
  <w:style w:type="paragraph" w:styleId="Corpodetexto3">
    <w:name w:val="Body Text 3"/>
    <w:basedOn w:val="Normal"/>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overflowPunct/>
      <w:jc w:val="both"/>
      <w:textAlignment w:val="baseline"/>
    </w:pPr>
    <w:rPr>
      <w:rFonts w:ascii="Arial" w:eastAsia="Times New Roman" w:hAnsi="Arial" w:cs="Arial"/>
      <w:szCs w:val="20"/>
    </w:rPr>
  </w:style>
  <w:style w:type="paragraph" w:customStyle="1" w:styleId="Default">
    <w:name w:val="Default"/>
    <w:qFormat/>
    <w:pPr>
      <w:overflowPunct w:val="0"/>
    </w:pPr>
    <w:rPr>
      <w:rFonts w:eastAsia="Times New Roman"/>
      <w:color w:val="000000"/>
      <w:sz w:val="24"/>
      <w:szCs w:val="24"/>
      <w:lang w:eastAsia="zh-CN"/>
    </w:rPr>
  </w:style>
  <w:style w:type="paragraph" w:customStyle="1" w:styleId="Contedodatabela">
    <w:name w:val="Conteúdo da tabela"/>
    <w:basedOn w:val="Normal"/>
    <w:qFormat/>
    <w:pPr>
      <w:widowControl w:val="0"/>
      <w:suppressLineNumbers/>
    </w:p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saogabriel.es.gov.br" TargetMode="External"/><Relationship Id="rId13" Type="http://schemas.openxmlformats.org/officeDocument/2006/relationships/hyperlink" Target="https://portaldatransparencia.gov.br/sancoes/consulta?cadastro=1&amp;ordenarPor=nomeSancionado&amp;direcao=asc"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gov.br/compras" TargetMode="External"/><Relationship Id="rId12" Type="http://schemas.openxmlformats.org/officeDocument/2006/relationships/hyperlink" Target="https://www.tcees.tc.br/portal-da-transparencia/consultas/listade-responsaveis/proibidos-de-contrata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iga.es.gov.b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planalto.gov.br/ccivil_03/_ato2007-2010/2009/lei/l12187.ht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caspsgp@gmail.com" TargetMode="External"/><Relationship Id="rId14" Type="http://schemas.openxmlformats.org/officeDocument/2006/relationships/hyperlink" Target="mailto:licitacao@saogabriel.es.gov.br"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mailto:caspsgp@gmail.com" TargetMode="External"/><Relationship Id="rId1" Type="http://schemas.openxmlformats.org/officeDocument/2006/relationships/hyperlink" Target="mailto:caspsgp@gmail.com"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caspsgp@gmail.com" TargetMode="External"/><Relationship Id="rId1" Type="http://schemas.openxmlformats.org/officeDocument/2006/relationships/hyperlink" Target="mailto:caspsgp@gmail.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312</TotalTime>
  <Pages>1</Pages>
  <Words>9837</Words>
  <Characters>53125</Characters>
  <Application>Microsoft Office Word</Application>
  <DocSecurity>0</DocSecurity>
  <Lines>442</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Erliton de Mello Braz</dc:creator>
  <dc:description/>
  <cp:lastModifiedBy>Erliton de Mello Braz</cp:lastModifiedBy>
  <cp:revision>17</cp:revision>
  <cp:lastPrinted>2026-06-11T18:33:00Z</cp:lastPrinted>
  <dcterms:created xsi:type="dcterms:W3CDTF">2025-12-19T11:53:00Z</dcterms:created>
  <dcterms:modified xsi:type="dcterms:W3CDTF">2026-06-11T19:15:00Z</dcterms:modified>
  <dc:language>pt-BR</dc:language>
</cp:coreProperties>
</file>